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highlight w:val="none"/>
        </w:rPr>
      </w:pPr>
      <w:bookmarkStart w:id="0" w:name="_Toc_4_4_0000000025"/>
      <w:r>
        <w:rPr>
          <w:rFonts w:hint="eastAsia" w:ascii="方正小标宋_GBK" w:hAnsi="方正小标宋_GBK" w:eastAsia="方正小标宋_GBK" w:cs="方正小标宋_GBK"/>
          <w:color w:val="000000"/>
          <w:sz w:val="44"/>
          <w:highlight w:val="none"/>
          <w:lang w:val="en-US" w:eastAsia="zh-CN"/>
        </w:rPr>
        <w:t xml:space="preserve">  </w:t>
      </w:r>
      <w:r>
        <w:rPr>
          <w:rFonts w:ascii="方正小标宋_GBK" w:hAnsi="方正小标宋_GBK" w:eastAsia="方正小标宋_GBK" w:cs="方正小标宋_GBK"/>
          <w:color w:val="000000"/>
          <w:sz w:val="44"/>
          <w:highlight w:val="none"/>
        </w:rPr>
        <w:t>河北省激光研究所有限公司收支预算</w:t>
      </w:r>
      <w:bookmarkEnd w:id="0"/>
    </w:p>
    <w:p>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996.05</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五、事业收入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r>
              <w:rPr>
                <w:highlight w:val="none"/>
              </w:rPr>
              <w:t>六、事业单位经营收入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r>
              <w:rPr>
                <w:highlight w:val="none"/>
              </w:rPr>
              <w:t>996.05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r>
              <w:rPr>
                <w:highlight w:val="none"/>
              </w:rPr>
              <w:t>七、上级补助收入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r>
              <w:rPr>
                <w:highlight w:val="none"/>
              </w:rPr>
              <w:t>八、附属单位上缴收入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r>
              <w:rPr>
                <w:highlight w:val="none"/>
              </w:rPr>
              <w:t>九、其他收入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996.05</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996.05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996.05</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996.05</w:t>
            </w:r>
          </w:p>
        </w:tc>
      </w:tr>
    </w:tbl>
    <w:p>
      <w:pPr>
        <w:rPr>
          <w:highlight w:val="none"/>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996.05</w:t>
            </w:r>
          </w:p>
        </w:tc>
        <w:tc>
          <w:tcPr>
            <w:tcW w:w="1134" w:type="dxa"/>
            <w:vAlign w:val="center"/>
          </w:tcPr>
          <w:p>
            <w:pPr>
              <w:pStyle w:val="15"/>
              <w:rPr>
                <w:highlight w:val="none"/>
              </w:rPr>
            </w:pPr>
            <w:r>
              <w:rPr>
                <w:highlight w:val="none"/>
              </w:rPr>
              <w:t>996.05</w:t>
            </w:r>
          </w:p>
        </w:tc>
        <w:tc>
          <w:tcPr>
            <w:tcW w:w="1134" w:type="dxa"/>
            <w:vAlign w:val="center"/>
          </w:tcPr>
          <w:p>
            <w:pPr>
              <w:pStyle w:val="15"/>
              <w:rPr>
                <w:highlight w:val="none"/>
              </w:rPr>
            </w:pPr>
            <w:r>
              <w:rPr>
                <w:highlight w:val="none"/>
              </w:rPr>
              <w:t>996.05</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206</w:t>
            </w:r>
          </w:p>
        </w:tc>
        <w:tc>
          <w:tcPr>
            <w:tcW w:w="1559" w:type="dxa"/>
            <w:vAlign w:val="center"/>
          </w:tcPr>
          <w:p>
            <w:pPr>
              <w:pStyle w:val="12"/>
              <w:rPr>
                <w:highlight w:val="none"/>
              </w:rPr>
            </w:pPr>
            <w:r>
              <w:rPr>
                <w:highlight w:val="none"/>
              </w:rPr>
              <w:t>科学技术支出</w:t>
            </w:r>
          </w:p>
        </w:tc>
        <w:tc>
          <w:tcPr>
            <w:tcW w:w="1134" w:type="dxa"/>
            <w:vAlign w:val="center"/>
          </w:tcPr>
          <w:p>
            <w:pPr>
              <w:pStyle w:val="11"/>
              <w:rPr>
                <w:highlight w:val="none"/>
              </w:rPr>
            </w:pPr>
            <w:r>
              <w:rPr>
                <w:highlight w:val="none"/>
              </w:rPr>
              <w:t>996.05</w:t>
            </w:r>
          </w:p>
        </w:tc>
        <w:tc>
          <w:tcPr>
            <w:tcW w:w="1134" w:type="dxa"/>
            <w:vAlign w:val="center"/>
          </w:tcPr>
          <w:p>
            <w:pPr>
              <w:pStyle w:val="11"/>
              <w:rPr>
                <w:highlight w:val="none"/>
              </w:rPr>
            </w:pPr>
            <w:r>
              <w:rPr>
                <w:highlight w:val="none"/>
              </w:rPr>
              <w:t>996.05</w:t>
            </w:r>
          </w:p>
        </w:tc>
        <w:tc>
          <w:tcPr>
            <w:tcW w:w="1134" w:type="dxa"/>
            <w:vAlign w:val="center"/>
          </w:tcPr>
          <w:p>
            <w:pPr>
              <w:pStyle w:val="11"/>
              <w:rPr>
                <w:highlight w:val="none"/>
              </w:rPr>
            </w:pPr>
            <w:r>
              <w:rPr>
                <w:highlight w:val="none"/>
              </w:rPr>
              <w:t>996.05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20601</w:t>
            </w:r>
          </w:p>
        </w:tc>
        <w:tc>
          <w:tcPr>
            <w:tcW w:w="1559" w:type="dxa"/>
            <w:vAlign w:val="center"/>
          </w:tcPr>
          <w:p>
            <w:pPr>
              <w:pStyle w:val="12"/>
              <w:rPr>
                <w:highlight w:val="none"/>
              </w:rPr>
            </w:pPr>
            <w:r>
              <w:rPr>
                <w:highlight w:val="none"/>
              </w:rPr>
              <w:t>科学技术管理事务</w:t>
            </w:r>
          </w:p>
        </w:tc>
        <w:tc>
          <w:tcPr>
            <w:tcW w:w="1134" w:type="dxa"/>
            <w:vAlign w:val="center"/>
          </w:tcPr>
          <w:p>
            <w:pPr>
              <w:pStyle w:val="11"/>
              <w:rPr>
                <w:highlight w:val="none"/>
              </w:rPr>
            </w:pPr>
            <w:r>
              <w:rPr>
                <w:highlight w:val="none"/>
              </w:rPr>
              <w:t>670.05</w:t>
            </w:r>
          </w:p>
        </w:tc>
        <w:tc>
          <w:tcPr>
            <w:tcW w:w="1134" w:type="dxa"/>
            <w:vAlign w:val="center"/>
          </w:tcPr>
          <w:p>
            <w:pPr>
              <w:pStyle w:val="11"/>
              <w:rPr>
                <w:highlight w:val="none"/>
              </w:rPr>
            </w:pPr>
            <w:r>
              <w:rPr>
                <w:highlight w:val="none"/>
              </w:rPr>
              <w:t>670.05</w:t>
            </w:r>
          </w:p>
        </w:tc>
        <w:tc>
          <w:tcPr>
            <w:tcW w:w="1134" w:type="dxa"/>
            <w:vAlign w:val="center"/>
          </w:tcPr>
          <w:p>
            <w:pPr>
              <w:pStyle w:val="11"/>
              <w:rPr>
                <w:highlight w:val="none"/>
              </w:rPr>
            </w:pPr>
            <w:r>
              <w:rPr>
                <w:highlight w:val="none"/>
              </w:rPr>
              <w:t>670.05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2060199</w:t>
            </w:r>
          </w:p>
        </w:tc>
        <w:tc>
          <w:tcPr>
            <w:tcW w:w="1559" w:type="dxa"/>
            <w:vAlign w:val="center"/>
          </w:tcPr>
          <w:p>
            <w:pPr>
              <w:pStyle w:val="12"/>
              <w:rPr>
                <w:highlight w:val="none"/>
              </w:rPr>
            </w:pPr>
            <w:r>
              <w:rPr>
                <w:highlight w:val="none"/>
              </w:rPr>
              <w:t>其他科学技术管理事务支出</w:t>
            </w:r>
          </w:p>
        </w:tc>
        <w:tc>
          <w:tcPr>
            <w:tcW w:w="1134" w:type="dxa"/>
            <w:vAlign w:val="center"/>
          </w:tcPr>
          <w:p>
            <w:pPr>
              <w:pStyle w:val="11"/>
              <w:rPr>
                <w:highlight w:val="none"/>
              </w:rPr>
            </w:pPr>
            <w:r>
              <w:rPr>
                <w:highlight w:val="none"/>
              </w:rPr>
              <w:t>670.05</w:t>
            </w:r>
          </w:p>
        </w:tc>
        <w:tc>
          <w:tcPr>
            <w:tcW w:w="1134" w:type="dxa"/>
            <w:vAlign w:val="center"/>
          </w:tcPr>
          <w:p>
            <w:pPr>
              <w:pStyle w:val="11"/>
              <w:rPr>
                <w:highlight w:val="none"/>
              </w:rPr>
            </w:pPr>
            <w:r>
              <w:rPr>
                <w:highlight w:val="none"/>
              </w:rPr>
              <w:t>670.05</w:t>
            </w:r>
          </w:p>
        </w:tc>
        <w:tc>
          <w:tcPr>
            <w:tcW w:w="1134" w:type="dxa"/>
            <w:vAlign w:val="center"/>
          </w:tcPr>
          <w:p>
            <w:pPr>
              <w:pStyle w:val="11"/>
              <w:rPr>
                <w:highlight w:val="none"/>
              </w:rPr>
            </w:pPr>
            <w:r>
              <w:rPr>
                <w:highlight w:val="none"/>
              </w:rPr>
              <w:t>670.05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20699</w:t>
            </w:r>
          </w:p>
        </w:tc>
        <w:tc>
          <w:tcPr>
            <w:tcW w:w="1559" w:type="dxa"/>
            <w:vAlign w:val="center"/>
          </w:tcPr>
          <w:p>
            <w:pPr>
              <w:pStyle w:val="12"/>
              <w:rPr>
                <w:highlight w:val="none"/>
              </w:rPr>
            </w:pPr>
            <w:r>
              <w:rPr>
                <w:highlight w:val="none"/>
              </w:rPr>
              <w:t>其他科学技术支出</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2069903</w:t>
            </w:r>
          </w:p>
        </w:tc>
        <w:tc>
          <w:tcPr>
            <w:tcW w:w="1559" w:type="dxa"/>
            <w:vAlign w:val="center"/>
          </w:tcPr>
          <w:p>
            <w:pPr>
              <w:pStyle w:val="12"/>
              <w:rPr>
                <w:highlight w:val="none"/>
              </w:rPr>
            </w:pPr>
            <w:r>
              <w:rPr>
                <w:highlight w:val="none"/>
              </w:rPr>
              <w:t>转制科研机构</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996.05</w:t>
            </w:r>
          </w:p>
        </w:tc>
        <w:tc>
          <w:tcPr>
            <w:tcW w:w="1361" w:type="dxa"/>
            <w:vAlign w:val="center"/>
          </w:tcPr>
          <w:p>
            <w:pPr>
              <w:pStyle w:val="15"/>
              <w:rPr>
                <w:highlight w:val="none"/>
              </w:rPr>
            </w:pPr>
            <w:r>
              <w:rPr>
                <w:highlight w:val="none"/>
              </w:rPr>
              <w:t>670.05</w:t>
            </w:r>
          </w:p>
        </w:tc>
        <w:tc>
          <w:tcPr>
            <w:tcW w:w="1361" w:type="dxa"/>
            <w:vAlign w:val="center"/>
          </w:tcPr>
          <w:p>
            <w:pPr>
              <w:pStyle w:val="15"/>
              <w:rPr>
                <w:highlight w:val="none"/>
              </w:rPr>
            </w:pPr>
            <w:r>
              <w:rPr>
                <w:highlight w:val="none"/>
              </w:rPr>
              <w:t>326.00</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206</w:t>
            </w:r>
          </w:p>
        </w:tc>
        <w:tc>
          <w:tcPr>
            <w:tcW w:w="4535" w:type="dxa"/>
            <w:vAlign w:val="center"/>
          </w:tcPr>
          <w:p>
            <w:pPr>
              <w:pStyle w:val="12"/>
              <w:rPr>
                <w:highlight w:val="none"/>
              </w:rPr>
            </w:pPr>
            <w:r>
              <w:rPr>
                <w:highlight w:val="none"/>
              </w:rPr>
              <w:t>科学技术支出</w:t>
            </w:r>
          </w:p>
        </w:tc>
        <w:tc>
          <w:tcPr>
            <w:tcW w:w="1361" w:type="dxa"/>
            <w:vAlign w:val="center"/>
          </w:tcPr>
          <w:p>
            <w:pPr>
              <w:pStyle w:val="11"/>
              <w:rPr>
                <w:highlight w:val="none"/>
              </w:rPr>
            </w:pPr>
            <w:r>
              <w:rPr>
                <w:highlight w:val="none"/>
              </w:rPr>
              <w:t>996.05</w:t>
            </w:r>
          </w:p>
        </w:tc>
        <w:tc>
          <w:tcPr>
            <w:tcW w:w="1361" w:type="dxa"/>
            <w:vAlign w:val="center"/>
          </w:tcPr>
          <w:p>
            <w:pPr>
              <w:pStyle w:val="11"/>
              <w:rPr>
                <w:highlight w:val="none"/>
              </w:rPr>
            </w:pPr>
            <w:r>
              <w:rPr>
                <w:highlight w:val="none"/>
              </w:rPr>
              <w:t>670.05</w:t>
            </w: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20601</w:t>
            </w:r>
          </w:p>
        </w:tc>
        <w:tc>
          <w:tcPr>
            <w:tcW w:w="4535" w:type="dxa"/>
            <w:vAlign w:val="center"/>
          </w:tcPr>
          <w:p>
            <w:pPr>
              <w:pStyle w:val="12"/>
              <w:rPr>
                <w:highlight w:val="none"/>
              </w:rPr>
            </w:pPr>
            <w:r>
              <w:rPr>
                <w:highlight w:val="none"/>
              </w:rPr>
              <w:t>科学技术管理事务</w:t>
            </w:r>
          </w:p>
        </w:tc>
        <w:tc>
          <w:tcPr>
            <w:tcW w:w="1361" w:type="dxa"/>
            <w:vAlign w:val="center"/>
          </w:tcPr>
          <w:p>
            <w:pPr>
              <w:pStyle w:val="11"/>
              <w:rPr>
                <w:highlight w:val="none"/>
              </w:rPr>
            </w:pPr>
            <w:r>
              <w:rPr>
                <w:highlight w:val="none"/>
              </w:rPr>
              <w:t>670.05</w:t>
            </w:r>
          </w:p>
        </w:tc>
        <w:tc>
          <w:tcPr>
            <w:tcW w:w="1361" w:type="dxa"/>
            <w:vAlign w:val="center"/>
          </w:tcPr>
          <w:p>
            <w:pPr>
              <w:pStyle w:val="11"/>
              <w:rPr>
                <w:highlight w:val="none"/>
              </w:rPr>
            </w:pPr>
            <w:r>
              <w:rPr>
                <w:highlight w:val="none"/>
              </w:rPr>
              <w:t>670.05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2060199</w:t>
            </w:r>
          </w:p>
        </w:tc>
        <w:tc>
          <w:tcPr>
            <w:tcW w:w="4535" w:type="dxa"/>
            <w:vAlign w:val="center"/>
          </w:tcPr>
          <w:p>
            <w:pPr>
              <w:pStyle w:val="12"/>
              <w:rPr>
                <w:highlight w:val="none"/>
              </w:rPr>
            </w:pPr>
            <w:r>
              <w:rPr>
                <w:highlight w:val="none"/>
              </w:rPr>
              <w:t>其他科学技术管理事务支出</w:t>
            </w:r>
          </w:p>
        </w:tc>
        <w:tc>
          <w:tcPr>
            <w:tcW w:w="1361" w:type="dxa"/>
            <w:vAlign w:val="center"/>
          </w:tcPr>
          <w:p>
            <w:pPr>
              <w:pStyle w:val="11"/>
              <w:rPr>
                <w:highlight w:val="none"/>
              </w:rPr>
            </w:pPr>
            <w:r>
              <w:rPr>
                <w:highlight w:val="none"/>
              </w:rPr>
              <w:t>670.05</w:t>
            </w:r>
          </w:p>
        </w:tc>
        <w:tc>
          <w:tcPr>
            <w:tcW w:w="1361" w:type="dxa"/>
            <w:vAlign w:val="center"/>
          </w:tcPr>
          <w:p>
            <w:pPr>
              <w:pStyle w:val="11"/>
              <w:rPr>
                <w:highlight w:val="none"/>
              </w:rPr>
            </w:pPr>
            <w:r>
              <w:rPr>
                <w:highlight w:val="none"/>
              </w:rPr>
              <w:t>670.05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20699</w:t>
            </w:r>
          </w:p>
        </w:tc>
        <w:tc>
          <w:tcPr>
            <w:tcW w:w="4535" w:type="dxa"/>
            <w:vAlign w:val="center"/>
          </w:tcPr>
          <w:p>
            <w:pPr>
              <w:pStyle w:val="12"/>
              <w:rPr>
                <w:highlight w:val="none"/>
              </w:rPr>
            </w:pPr>
            <w:r>
              <w:rPr>
                <w:highlight w:val="none"/>
              </w:rPr>
              <w:t>其他科学技术支出</w:t>
            </w: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2069903</w:t>
            </w:r>
          </w:p>
        </w:tc>
        <w:tc>
          <w:tcPr>
            <w:tcW w:w="4535" w:type="dxa"/>
            <w:vAlign w:val="center"/>
          </w:tcPr>
          <w:p>
            <w:pPr>
              <w:pStyle w:val="12"/>
              <w:rPr>
                <w:highlight w:val="none"/>
              </w:rPr>
            </w:pPr>
            <w:r>
              <w:rPr>
                <w:highlight w:val="none"/>
              </w:rPr>
              <w:t>转制科研机构</w:t>
            </w: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996.05</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r>
              <w:rPr>
                <w:highlight w:val="none"/>
              </w:rPr>
              <w:t>996.05</w:t>
            </w:r>
          </w:p>
        </w:tc>
        <w:tc>
          <w:tcPr>
            <w:tcW w:w="1474" w:type="dxa"/>
            <w:vAlign w:val="center"/>
          </w:tcPr>
          <w:p>
            <w:pPr>
              <w:pStyle w:val="11"/>
              <w:rPr>
                <w:highlight w:val="none"/>
              </w:rPr>
            </w:pPr>
            <w:r>
              <w:rPr>
                <w:highlight w:val="none"/>
              </w:rPr>
              <w:t>996.05</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996.05</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996.05</w:t>
            </w:r>
          </w:p>
        </w:tc>
        <w:tc>
          <w:tcPr>
            <w:tcW w:w="1474" w:type="dxa"/>
            <w:vAlign w:val="center"/>
          </w:tcPr>
          <w:p>
            <w:pPr>
              <w:pStyle w:val="15"/>
              <w:rPr>
                <w:highlight w:val="none"/>
              </w:rPr>
            </w:pPr>
            <w:r>
              <w:rPr>
                <w:highlight w:val="none"/>
              </w:rPr>
              <w:t>996.05</w:t>
            </w:r>
          </w:p>
        </w:tc>
        <w:tc>
          <w:tcPr>
            <w:tcW w:w="1474" w:type="dxa"/>
            <w:vAlign w:val="center"/>
          </w:tcPr>
          <w:p>
            <w:pPr>
              <w:pStyle w:val="15"/>
              <w:rPr>
                <w:highlight w:val="none"/>
              </w:rPr>
            </w:pP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996.05</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996.05</w:t>
            </w:r>
          </w:p>
        </w:tc>
        <w:tc>
          <w:tcPr>
            <w:tcW w:w="1474" w:type="dxa"/>
            <w:vAlign w:val="center"/>
          </w:tcPr>
          <w:p>
            <w:pPr>
              <w:pStyle w:val="15"/>
              <w:rPr>
                <w:highlight w:val="none"/>
              </w:rPr>
            </w:pPr>
            <w:r>
              <w:rPr>
                <w:highlight w:val="none"/>
              </w:rPr>
              <w:t>996.05</w:t>
            </w:r>
          </w:p>
        </w:tc>
        <w:tc>
          <w:tcPr>
            <w:tcW w:w="1474" w:type="dxa"/>
            <w:vAlign w:val="center"/>
          </w:tcPr>
          <w:p>
            <w:pPr>
              <w:pStyle w:val="15"/>
              <w:rPr>
                <w:highlight w:val="none"/>
              </w:rPr>
            </w:pP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996.05</w:t>
            </w:r>
          </w:p>
        </w:tc>
        <w:tc>
          <w:tcPr>
            <w:tcW w:w="2551" w:type="dxa"/>
            <w:vAlign w:val="center"/>
          </w:tcPr>
          <w:p>
            <w:pPr>
              <w:pStyle w:val="15"/>
              <w:rPr>
                <w:highlight w:val="none"/>
              </w:rPr>
            </w:pPr>
            <w:r>
              <w:rPr>
                <w:highlight w:val="none"/>
              </w:rPr>
              <w:t>670.05</w:t>
            </w:r>
          </w:p>
        </w:tc>
        <w:tc>
          <w:tcPr>
            <w:tcW w:w="2551" w:type="dxa"/>
            <w:vAlign w:val="center"/>
          </w:tcPr>
          <w:p>
            <w:pPr>
              <w:pStyle w:val="15"/>
              <w:rPr>
                <w:highlight w:val="none"/>
              </w:rPr>
            </w:pPr>
            <w:r>
              <w:rPr>
                <w:highlight w:val="none"/>
              </w:rP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206</w:t>
            </w:r>
          </w:p>
        </w:tc>
        <w:tc>
          <w:tcPr>
            <w:tcW w:w="4535" w:type="dxa"/>
            <w:vAlign w:val="center"/>
          </w:tcPr>
          <w:p>
            <w:pPr>
              <w:pStyle w:val="12"/>
              <w:rPr>
                <w:highlight w:val="none"/>
              </w:rPr>
            </w:pPr>
            <w:r>
              <w:rPr>
                <w:highlight w:val="none"/>
              </w:rPr>
              <w:t>科学技术支出</w:t>
            </w:r>
          </w:p>
        </w:tc>
        <w:tc>
          <w:tcPr>
            <w:tcW w:w="2551" w:type="dxa"/>
            <w:vAlign w:val="center"/>
          </w:tcPr>
          <w:p>
            <w:pPr>
              <w:pStyle w:val="11"/>
              <w:rPr>
                <w:highlight w:val="none"/>
              </w:rPr>
            </w:pPr>
            <w:r>
              <w:rPr>
                <w:highlight w:val="none"/>
              </w:rPr>
              <w:t>996.05</w:t>
            </w:r>
          </w:p>
        </w:tc>
        <w:tc>
          <w:tcPr>
            <w:tcW w:w="2551" w:type="dxa"/>
            <w:vAlign w:val="center"/>
          </w:tcPr>
          <w:p>
            <w:pPr>
              <w:pStyle w:val="11"/>
              <w:rPr>
                <w:highlight w:val="none"/>
              </w:rPr>
            </w:pPr>
            <w:r>
              <w:rPr>
                <w:highlight w:val="none"/>
              </w:rPr>
              <w:t>670.05</w:t>
            </w:r>
          </w:p>
        </w:tc>
        <w:tc>
          <w:tcPr>
            <w:tcW w:w="2551" w:type="dxa"/>
            <w:vAlign w:val="center"/>
          </w:tcPr>
          <w:p>
            <w:pPr>
              <w:pStyle w:val="11"/>
              <w:rPr>
                <w:highlight w:val="none"/>
              </w:rPr>
            </w:pPr>
            <w:r>
              <w:rPr>
                <w:highlight w:val="none"/>
              </w:rP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20601</w:t>
            </w:r>
          </w:p>
        </w:tc>
        <w:tc>
          <w:tcPr>
            <w:tcW w:w="4535" w:type="dxa"/>
            <w:vAlign w:val="center"/>
          </w:tcPr>
          <w:p>
            <w:pPr>
              <w:pStyle w:val="12"/>
              <w:rPr>
                <w:highlight w:val="none"/>
              </w:rPr>
            </w:pPr>
            <w:r>
              <w:rPr>
                <w:highlight w:val="none"/>
              </w:rPr>
              <w:t>科学技术管理事务</w:t>
            </w:r>
          </w:p>
        </w:tc>
        <w:tc>
          <w:tcPr>
            <w:tcW w:w="2551" w:type="dxa"/>
            <w:vAlign w:val="center"/>
          </w:tcPr>
          <w:p>
            <w:pPr>
              <w:pStyle w:val="11"/>
              <w:rPr>
                <w:highlight w:val="none"/>
              </w:rPr>
            </w:pPr>
            <w:r>
              <w:rPr>
                <w:highlight w:val="none"/>
              </w:rPr>
              <w:t>670.05</w:t>
            </w:r>
          </w:p>
        </w:tc>
        <w:tc>
          <w:tcPr>
            <w:tcW w:w="2551" w:type="dxa"/>
            <w:vAlign w:val="center"/>
          </w:tcPr>
          <w:p>
            <w:pPr>
              <w:pStyle w:val="11"/>
              <w:rPr>
                <w:highlight w:val="none"/>
              </w:rPr>
            </w:pPr>
            <w:r>
              <w:rPr>
                <w:highlight w:val="none"/>
              </w:rPr>
              <w:t>670.05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2060199</w:t>
            </w:r>
          </w:p>
        </w:tc>
        <w:tc>
          <w:tcPr>
            <w:tcW w:w="4535" w:type="dxa"/>
            <w:vAlign w:val="center"/>
          </w:tcPr>
          <w:p>
            <w:pPr>
              <w:pStyle w:val="12"/>
              <w:rPr>
                <w:highlight w:val="none"/>
              </w:rPr>
            </w:pPr>
            <w:r>
              <w:rPr>
                <w:highlight w:val="none"/>
              </w:rPr>
              <w:t>其他科学技术管理事务支出</w:t>
            </w:r>
          </w:p>
        </w:tc>
        <w:tc>
          <w:tcPr>
            <w:tcW w:w="2551" w:type="dxa"/>
            <w:vAlign w:val="center"/>
          </w:tcPr>
          <w:p>
            <w:pPr>
              <w:pStyle w:val="11"/>
              <w:rPr>
                <w:highlight w:val="none"/>
              </w:rPr>
            </w:pPr>
            <w:r>
              <w:rPr>
                <w:highlight w:val="none"/>
              </w:rPr>
              <w:t>670.05</w:t>
            </w:r>
          </w:p>
        </w:tc>
        <w:tc>
          <w:tcPr>
            <w:tcW w:w="2551" w:type="dxa"/>
            <w:vAlign w:val="center"/>
          </w:tcPr>
          <w:p>
            <w:pPr>
              <w:pStyle w:val="11"/>
              <w:rPr>
                <w:highlight w:val="none"/>
              </w:rPr>
            </w:pPr>
            <w:r>
              <w:rPr>
                <w:highlight w:val="none"/>
              </w:rPr>
              <w:t>670.05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20699</w:t>
            </w:r>
          </w:p>
        </w:tc>
        <w:tc>
          <w:tcPr>
            <w:tcW w:w="4535" w:type="dxa"/>
            <w:vAlign w:val="center"/>
          </w:tcPr>
          <w:p>
            <w:pPr>
              <w:pStyle w:val="12"/>
              <w:rPr>
                <w:highlight w:val="none"/>
              </w:rPr>
            </w:pPr>
            <w:r>
              <w:rPr>
                <w:highlight w:val="none"/>
              </w:rPr>
              <w:t>其他科学技术支出</w:t>
            </w:r>
          </w:p>
        </w:tc>
        <w:tc>
          <w:tcPr>
            <w:tcW w:w="2551" w:type="dxa"/>
            <w:vAlign w:val="center"/>
          </w:tcPr>
          <w:p>
            <w:pPr>
              <w:pStyle w:val="11"/>
              <w:rPr>
                <w:highlight w:val="none"/>
              </w:rPr>
            </w:pPr>
            <w:r>
              <w:rPr>
                <w:highlight w:val="none"/>
              </w:rPr>
              <w:t>326.00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2069903</w:t>
            </w:r>
          </w:p>
        </w:tc>
        <w:tc>
          <w:tcPr>
            <w:tcW w:w="4535" w:type="dxa"/>
            <w:vAlign w:val="center"/>
          </w:tcPr>
          <w:p>
            <w:pPr>
              <w:pStyle w:val="12"/>
              <w:rPr>
                <w:highlight w:val="none"/>
              </w:rPr>
            </w:pPr>
            <w:r>
              <w:rPr>
                <w:highlight w:val="none"/>
              </w:rPr>
              <w:t>转制科研机构</w:t>
            </w:r>
          </w:p>
        </w:tc>
        <w:tc>
          <w:tcPr>
            <w:tcW w:w="2551" w:type="dxa"/>
            <w:vAlign w:val="center"/>
          </w:tcPr>
          <w:p>
            <w:pPr>
              <w:pStyle w:val="11"/>
              <w:rPr>
                <w:highlight w:val="none"/>
              </w:rPr>
            </w:pPr>
            <w:r>
              <w:rPr>
                <w:highlight w:val="none"/>
              </w:rPr>
              <w:t>326.00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326.00</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670.05</w:t>
            </w:r>
          </w:p>
        </w:tc>
        <w:tc>
          <w:tcPr>
            <w:tcW w:w="2551" w:type="dxa"/>
            <w:vAlign w:val="center"/>
          </w:tcPr>
          <w:p>
            <w:pPr>
              <w:pStyle w:val="15"/>
              <w:rPr>
                <w:highlight w:val="none"/>
              </w:rPr>
            </w:pPr>
            <w:r>
              <w:rPr>
                <w:highlight w:val="none"/>
              </w:rPr>
              <w:t>659.78</w:t>
            </w:r>
          </w:p>
        </w:tc>
        <w:tc>
          <w:tcPr>
            <w:tcW w:w="2551" w:type="dxa"/>
            <w:vAlign w:val="center"/>
          </w:tcPr>
          <w:p>
            <w:pPr>
              <w:pStyle w:val="15"/>
              <w:rPr>
                <w:highlight w:val="none"/>
              </w:rPr>
            </w:pPr>
            <w:r>
              <w:rPr>
                <w:highlight w:val="none"/>
              </w:rPr>
              <w:t>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10.27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10.27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659.78</w:t>
            </w:r>
          </w:p>
        </w:tc>
        <w:tc>
          <w:tcPr>
            <w:tcW w:w="2551" w:type="dxa"/>
            <w:vAlign w:val="center"/>
          </w:tcPr>
          <w:p>
            <w:pPr>
              <w:pStyle w:val="11"/>
              <w:rPr>
                <w:highlight w:val="none"/>
              </w:rPr>
            </w:pPr>
            <w:r>
              <w:rPr>
                <w:highlight w:val="none"/>
              </w:rPr>
              <w:t>659.78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659.78</w:t>
            </w:r>
          </w:p>
        </w:tc>
        <w:tc>
          <w:tcPr>
            <w:tcW w:w="2551" w:type="dxa"/>
            <w:vAlign w:val="center"/>
          </w:tcPr>
          <w:p>
            <w:pPr>
              <w:pStyle w:val="11"/>
              <w:rPr>
                <w:highlight w:val="none"/>
              </w:rPr>
            </w:pPr>
            <w:r>
              <w:rPr>
                <w:highlight w:val="none"/>
              </w:rPr>
              <w:t>659.78</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4"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1"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rFonts w:hint="eastAsia" w:eastAsiaTheme="minorEastAsia"/>
                <w:highlight w:val="none"/>
                <w:lang w:eastAsia="zh-CN"/>
              </w:rPr>
              <w:t>1</w:t>
            </w:r>
          </w:p>
        </w:tc>
        <w:tc>
          <w:tcPr>
            <w:tcW w:w="3798" w:type="dxa"/>
            <w:vAlign w:val="center"/>
          </w:tcPr>
          <w:p>
            <w:pPr>
              <w:pStyle w:val="10"/>
              <w:rPr>
                <w:highlight w:val="none"/>
              </w:rPr>
            </w:pPr>
            <w:r>
              <w:rPr>
                <w:rFonts w:hint="eastAsia"/>
                <w:highlight w:val="none"/>
              </w:rPr>
              <w:t>合计</w:t>
            </w:r>
          </w:p>
        </w:tc>
        <w:tc>
          <w:tcPr>
            <w:tcW w:w="2381" w:type="dxa"/>
            <w:vAlign w:val="center"/>
          </w:tcPr>
          <w:p>
            <w:pPr>
              <w:pStyle w:val="10"/>
              <w:jc w:val="right"/>
              <w:rPr>
                <w:highlight w:val="none"/>
              </w:rPr>
            </w:pPr>
            <w:r>
              <w:rPr>
                <w:rFonts w:hint="eastAsia"/>
                <w:highlight w:val="none"/>
              </w:rPr>
              <w:t>0.00</w:t>
            </w:r>
          </w:p>
        </w:tc>
        <w:tc>
          <w:tcPr>
            <w:tcW w:w="2381" w:type="dxa"/>
            <w:vAlign w:val="center"/>
          </w:tcPr>
          <w:p>
            <w:pPr>
              <w:pStyle w:val="10"/>
              <w:jc w:val="right"/>
              <w:rPr>
                <w:highlight w:val="none"/>
              </w:rPr>
            </w:pPr>
            <w:r>
              <w:rPr>
                <w:rFonts w:hint="eastAsia"/>
                <w:highlight w:val="none"/>
              </w:rPr>
              <w:t>0.00</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rFonts w:hint="eastAsia" w:eastAsiaTheme="minorEastAsia"/>
                <w:highlight w:val="none"/>
                <w:lang w:eastAsia="zh-CN"/>
              </w:rPr>
              <w:t>2</w:t>
            </w:r>
          </w:p>
        </w:tc>
        <w:tc>
          <w:tcPr>
            <w:tcW w:w="3798" w:type="dxa"/>
            <w:vAlign w:val="center"/>
          </w:tcPr>
          <w:p>
            <w:pPr>
              <w:pStyle w:val="12"/>
              <w:rPr>
                <w:highlight w:val="none"/>
              </w:rPr>
            </w:pPr>
            <w:r>
              <w:rPr>
                <w:rFonts w:hint="eastAsia" w:eastAsiaTheme="minorEastAsia"/>
                <w:highlight w:val="none"/>
                <w:lang w:eastAsia="zh-CN"/>
              </w:rPr>
              <w:t>一、因公出国（境）费</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rFonts w:hint="eastAsia" w:eastAsiaTheme="minorEastAsia"/>
                <w:highlight w:val="none"/>
                <w:lang w:eastAsia="zh-CN"/>
              </w:rPr>
              <w:t>3</w:t>
            </w:r>
          </w:p>
        </w:tc>
        <w:tc>
          <w:tcPr>
            <w:tcW w:w="3798" w:type="dxa"/>
            <w:vAlign w:val="center"/>
          </w:tcPr>
          <w:p>
            <w:pPr>
              <w:pStyle w:val="12"/>
              <w:rPr>
                <w:highlight w:val="none"/>
              </w:rPr>
            </w:pPr>
            <w:r>
              <w:rPr>
                <w:rFonts w:hint="eastAsia" w:eastAsiaTheme="minorEastAsia"/>
                <w:highlight w:val="none"/>
                <w:lang w:eastAsia="zh-CN"/>
              </w:rPr>
              <w:t>二、公务用车购置及运维费</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rFonts w:hint="eastAsia" w:eastAsiaTheme="minorEastAsia"/>
                <w:highlight w:val="none"/>
                <w:lang w:eastAsia="zh-CN"/>
              </w:rPr>
              <w:t>4</w:t>
            </w:r>
          </w:p>
        </w:tc>
        <w:tc>
          <w:tcPr>
            <w:tcW w:w="3798" w:type="dxa"/>
            <w:vAlign w:val="center"/>
          </w:tcPr>
          <w:p>
            <w:pPr>
              <w:pStyle w:val="12"/>
              <w:rPr>
                <w:highlight w:val="none"/>
              </w:rPr>
            </w:pPr>
            <w:r>
              <w:rPr>
                <w:rFonts w:hint="eastAsia" w:eastAsiaTheme="minorEastAsia"/>
                <w:highlight w:val="none"/>
                <w:lang w:eastAsia="zh-CN"/>
              </w:rPr>
              <w:t xml:space="preserve">    其中：公务用车购置费</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rFonts w:hint="eastAsia" w:eastAsiaTheme="minorEastAsia"/>
                <w:highlight w:val="none"/>
                <w:lang w:eastAsia="zh-CN"/>
              </w:rPr>
              <w:t>5</w:t>
            </w:r>
          </w:p>
        </w:tc>
        <w:tc>
          <w:tcPr>
            <w:tcW w:w="3798" w:type="dxa"/>
            <w:vAlign w:val="center"/>
          </w:tcPr>
          <w:p>
            <w:pPr>
              <w:pStyle w:val="12"/>
              <w:rPr>
                <w:highlight w:val="none"/>
              </w:rPr>
            </w:pPr>
            <w:r>
              <w:rPr>
                <w:rFonts w:hint="eastAsia" w:eastAsiaTheme="minorEastAsia"/>
                <w:highlight w:val="none"/>
                <w:lang w:eastAsia="zh-CN"/>
              </w:rPr>
              <w:t xml:space="preserve">          公务用车运行维护费</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rFonts w:hint="eastAsia" w:eastAsiaTheme="minorEastAsia"/>
                <w:highlight w:val="none"/>
                <w:lang w:eastAsia="zh-CN"/>
              </w:rPr>
              <w:t>6</w:t>
            </w:r>
          </w:p>
        </w:tc>
        <w:tc>
          <w:tcPr>
            <w:tcW w:w="3798" w:type="dxa"/>
            <w:vAlign w:val="center"/>
          </w:tcPr>
          <w:p>
            <w:pPr>
              <w:pStyle w:val="12"/>
              <w:rPr>
                <w:highlight w:val="none"/>
              </w:rPr>
            </w:pPr>
            <w:r>
              <w:rPr>
                <w:rFonts w:hint="eastAsia" w:eastAsiaTheme="minorEastAsia"/>
                <w:highlight w:val="none"/>
                <w:lang w:eastAsia="zh-CN"/>
              </w:rPr>
              <w:t>三、公务接待费</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r>
              <w:rPr>
                <w:rFonts w:hint="eastAsia" w:eastAsiaTheme="minorEastAsia"/>
                <w:highlight w:val="none"/>
                <w:lang w:eastAsia="zh-CN"/>
              </w:rPr>
              <w:t>0.00</w:t>
            </w:r>
          </w:p>
        </w:tc>
        <w:tc>
          <w:tcPr>
            <w:tcW w:w="2381" w:type="dxa"/>
            <w:vAlign w:val="center"/>
          </w:tcPr>
          <w:p>
            <w:pPr>
              <w:pStyle w:val="11"/>
              <w:rPr>
                <w:highlight w:val="none"/>
              </w:rPr>
            </w:pPr>
          </w:p>
        </w:tc>
        <w:tc>
          <w:tcPr>
            <w:tcW w:w="2381" w:type="dxa"/>
            <w:vAlign w:val="center"/>
          </w:tcPr>
          <w:p>
            <w:pPr>
              <w:pStyle w:val="11"/>
              <w:rPr>
                <w:highlight w:val="none"/>
              </w:rPr>
            </w:pPr>
          </w:p>
        </w:tc>
      </w:tr>
    </w:tbl>
    <w:p>
      <w:pPr>
        <w:ind w:firstLine="42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注：无财政拨款“三公”经费支出表预算，空表列示。</w:t>
      </w:r>
    </w:p>
    <w:p>
      <w:pPr>
        <w:jc w:val="center"/>
        <w:outlineLvl w:val="4"/>
        <w:rPr>
          <w:highlight w:val="none"/>
        </w:rPr>
      </w:pPr>
      <w:r>
        <w:rPr>
          <w:rFonts w:ascii="方正小标宋_GBK" w:hAnsi="方正小标宋_GBK" w:eastAsia="方正小标宋_GBK" w:cs="方正小标宋_GBK"/>
          <w:color w:val="000000"/>
          <w:sz w:val="44"/>
          <w:highlight w:val="none"/>
        </w:rPr>
        <w:t>河北省激光研究所有限公司2022年单位预算信息公开情况说明</w:t>
      </w:r>
    </w:p>
    <w:p>
      <w:pPr>
        <w:spacing w:line="500" w:lineRule="exact"/>
        <w:ind w:firstLine="560"/>
        <w:rPr>
          <w:highlight w:val="none"/>
        </w:rPr>
      </w:pPr>
      <w:r>
        <w:rPr>
          <w:rFonts w:eastAsia="方正仿宋_GBK"/>
          <w:color w:val="000000"/>
          <w:sz w:val="28"/>
          <w:highlight w:val="none"/>
        </w:rPr>
        <w:t>按照《</w:t>
      </w:r>
      <w:r>
        <w:rPr>
          <w:rFonts w:hint="eastAsia" w:eastAsia="方正仿宋_GBK"/>
          <w:color w:val="000000"/>
          <w:sz w:val="28"/>
          <w:highlight w:val="none"/>
          <w:lang w:val="en-US" w:eastAsia="zh-CN"/>
        </w:rPr>
        <w:t>中华人民共和国</w:t>
      </w:r>
      <w:r>
        <w:rPr>
          <w:rFonts w:eastAsia="方正仿宋_GBK"/>
          <w:color w:val="000000"/>
          <w:sz w:val="28"/>
          <w:highlight w:val="none"/>
        </w:rPr>
        <w:t>预算法》、《地方预决算公开操作规程》和《关于进一步推进预算公开工作的实施意见》规定，现将河北省激光研究所有限公司2022年单位预算公开如下：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ind w:firstLine="640"/>
        <w:rPr>
          <w:highlight w:val="none"/>
        </w:rPr>
      </w:pPr>
      <w:r>
        <w:rPr>
          <w:rFonts w:ascii="方正楷体_GBK" w:hAnsi="方正楷体_GBK" w:eastAsia="方正楷体_GBK" w:cs="方正楷体_GBK"/>
          <w:b/>
          <w:color w:val="000000"/>
          <w:sz w:val="32"/>
          <w:highlight w:val="none"/>
        </w:rPr>
        <w:t>单位职责：</w:t>
      </w:r>
    </w:p>
    <w:p>
      <w:pPr>
        <w:spacing w:before="172" w:line="362" w:lineRule="auto"/>
        <w:ind w:firstLine="560" w:firstLineChars="200"/>
        <w:jc w:val="both"/>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激光、光机电技术和产品、激光医疗技术和产品、等离子体技术和产品、测控技术和设备、金刚石产品的研究开发</w:t>
      </w:r>
      <w:r>
        <w:rPr>
          <w:rFonts w:hint="eastAsia" w:ascii="Times New Roman" w:hAnsi="Times New Roman" w:eastAsia="方正仿宋_GBK" w:cs="Times New Roman"/>
          <w:sz w:val="28"/>
          <w:szCs w:val="24"/>
          <w:highlight w:val="none"/>
          <w:lang w:val="en-US" w:eastAsia="zh-CN" w:bidi="ar-SA"/>
        </w:rPr>
        <w:t>与</w:t>
      </w:r>
      <w:r>
        <w:rPr>
          <w:rFonts w:hint="eastAsia" w:ascii="Times New Roman" w:hAnsi="Times New Roman" w:eastAsia="方正仿宋_GBK" w:cs="Times New Roman"/>
          <w:sz w:val="28"/>
          <w:szCs w:val="24"/>
          <w:highlight w:val="none"/>
          <w:lang w:val="en-US" w:eastAsia="uk-UA" w:bidi="ar-SA"/>
        </w:rPr>
        <w:t>技术服务；商品和技术的进出口；金刚石销售；光伏系统研究开发；房屋租赁；机械设备租赁；机械设备、电子产品的销售。</w:t>
      </w:r>
    </w:p>
    <w:p>
      <w:pPr>
        <w:ind w:firstLine="640"/>
        <w:rPr>
          <w:highlight w:val="none"/>
        </w:rPr>
      </w:pPr>
      <w:r>
        <w:rPr>
          <w:rFonts w:ascii="方正楷体_GBK" w:hAnsi="方正楷体_GBK" w:eastAsia="方正楷体_GBK" w:cs="方正楷体_GBK"/>
          <w:b/>
          <w:color w:val="000000"/>
          <w:sz w:val="32"/>
          <w:highlight w:val="none"/>
        </w:rPr>
        <w:t>机构设置：</w:t>
      </w:r>
      <w:bookmarkStart w:id="1" w:name="_GoBack"/>
      <w:bookmarkEnd w:id="1"/>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河北省激光研究所有限公司</w:t>
            </w:r>
          </w:p>
        </w:tc>
        <w:tc>
          <w:tcPr>
            <w:tcW w:w="1843" w:type="dxa"/>
            <w:vAlign w:val="center"/>
          </w:tcPr>
          <w:p>
            <w:pPr>
              <w:pStyle w:val="13"/>
              <w:rPr>
                <w:rFonts w:hint="eastAsia" w:eastAsiaTheme="minorEastAsia"/>
                <w:highlight w:val="none"/>
                <w:lang w:eastAsia="zh-CN"/>
              </w:rPr>
            </w:pPr>
            <w:r>
              <w:rPr>
                <w:rFonts w:hint="eastAsia" w:eastAsiaTheme="minorEastAsia"/>
                <w:highlight w:val="none"/>
                <w:lang w:eastAsia="zh-CN"/>
              </w:rPr>
              <w:t>其他</w:t>
            </w:r>
          </w:p>
        </w:tc>
        <w:tc>
          <w:tcPr>
            <w:tcW w:w="2126" w:type="dxa"/>
            <w:vAlign w:val="center"/>
          </w:tcPr>
          <w:p>
            <w:pPr>
              <w:pStyle w:val="13"/>
              <w:rPr>
                <w:highlight w:val="none"/>
              </w:rPr>
            </w:pPr>
            <w:r>
              <w:rPr>
                <w:highlight w:val="none"/>
              </w:rPr>
              <w:t>未定行政级别</w:t>
            </w:r>
          </w:p>
        </w:tc>
        <w:tc>
          <w:tcPr>
            <w:tcW w:w="3827" w:type="dxa"/>
            <w:vAlign w:val="center"/>
          </w:tcPr>
          <w:p>
            <w:pPr>
              <w:pStyle w:val="13"/>
              <w:rPr>
                <w:highlight w:val="none"/>
              </w:rPr>
            </w:pPr>
            <w:r>
              <w:rPr>
                <w:highlight w:val="none"/>
              </w:rPr>
              <w:t>其他</w:t>
            </w:r>
          </w:p>
        </w:tc>
      </w:tr>
    </w:tbl>
    <w:p>
      <w:pPr>
        <w:spacing w:before="10" w:after="10"/>
        <w:ind w:firstLine="640"/>
        <w:outlineLvl w:val="5"/>
        <w:rPr>
          <w:highlight w:val="none"/>
        </w:rPr>
      </w:pPr>
      <w:r>
        <w:rPr>
          <w:rFonts w:ascii="黑体" w:hAnsi="黑体" w:eastAsia="黑体" w:cs="黑体"/>
          <w:color w:val="000000"/>
          <w:sz w:val="32"/>
          <w:highlight w:val="none"/>
        </w:rPr>
        <w:t>二、单位预算安排的总体情况</w:t>
      </w:r>
    </w:p>
    <w:p>
      <w:pPr>
        <w:spacing w:line="500" w:lineRule="exact"/>
        <w:ind w:firstLine="560"/>
        <w:rPr>
          <w:highlight w:val="none"/>
        </w:rPr>
      </w:pPr>
      <w:r>
        <w:rPr>
          <w:rFonts w:eastAsia="方正仿宋_GBK"/>
          <w:color w:val="000000"/>
          <w:sz w:val="28"/>
          <w:highlight w:val="none"/>
        </w:rPr>
        <w:t>按照预算管理有关规定，目前我省单位预算的编制实行综合预算管理，即全部收入和支出都反映在预算中。</w:t>
      </w:r>
    </w:p>
    <w:p>
      <w:pPr>
        <w:pStyle w:val="30"/>
        <w:rPr>
          <w:highlight w:val="none"/>
        </w:rPr>
      </w:pPr>
      <w:r>
        <w:rPr>
          <w:highlight w:val="none"/>
        </w:rPr>
        <w:t>1、收入说明</w:t>
      </w:r>
    </w:p>
    <w:p>
      <w:pPr>
        <w:pStyle w:val="30"/>
        <w:rPr>
          <w:highlight w:val="none"/>
        </w:rPr>
      </w:pPr>
      <w:r>
        <w:rPr>
          <w:highlight w:val="none"/>
        </w:rPr>
        <w:t>反映本单位当年全部收入。2022年预算收入996.05万元，其中:一般公共预算收入996.05万元，基金预算收入0万元，国有资本经营预算收入0万元，财政专户核拨收入0万元，单位资金收入0万元，上年结转结余0万元。</w:t>
      </w:r>
    </w:p>
    <w:p>
      <w:pPr>
        <w:pStyle w:val="30"/>
        <w:rPr>
          <w:highlight w:val="none"/>
        </w:rPr>
      </w:pPr>
      <w:r>
        <w:rPr>
          <w:highlight w:val="none"/>
        </w:rPr>
        <w:t>2、支出说明</w:t>
      </w:r>
    </w:p>
    <w:p>
      <w:pPr>
        <w:pStyle w:val="30"/>
        <w:rPr>
          <w:highlight w:val="none"/>
        </w:rPr>
      </w:pPr>
      <w:r>
        <w:rPr>
          <w:highlight w:val="none"/>
        </w:rPr>
        <w:t>收支预算总表支出栏、基本支出表、项目支出表按经济分类和支出功能分类科目编制，反映河北省激光研究所有限公司年度单位预算中支出预算的总体情况。2022年支出预算996.05万元，其中基本支出670.05万元，包括人员经费659.78万元和日常公用经费10.27万元；项目支出326万元，主要为科研项目经费等。</w:t>
      </w:r>
    </w:p>
    <w:p>
      <w:pPr>
        <w:pStyle w:val="30"/>
        <w:rPr>
          <w:highlight w:val="none"/>
        </w:rPr>
      </w:pPr>
      <w:r>
        <w:rPr>
          <w:highlight w:val="none"/>
        </w:rPr>
        <w:t>3、比上年增减情况</w:t>
      </w:r>
    </w:p>
    <w:p>
      <w:pPr>
        <w:pStyle w:val="30"/>
        <w:rPr>
          <w:rFonts w:hint="eastAsia" w:eastAsiaTheme="minorEastAsia"/>
          <w:highlight w:val="none"/>
          <w:lang w:eastAsia="zh-CN"/>
        </w:rPr>
      </w:pPr>
      <w:r>
        <w:rPr>
          <w:highlight w:val="none"/>
        </w:rPr>
        <w:t>2022年预算收支安排996.05万元，较2021年预算增加141.35万元，其中</w:t>
      </w:r>
      <w:r>
        <w:rPr>
          <w:rFonts w:hint="eastAsia" w:eastAsiaTheme="minorEastAsia"/>
          <w:highlight w:val="none"/>
          <w:lang w:eastAsia="zh-CN"/>
        </w:rPr>
        <w:t>：</w:t>
      </w:r>
      <w:r>
        <w:rPr>
          <w:highlight w:val="none"/>
        </w:rPr>
        <w:t>基本支出增加142.35万元，主要为人员经费</w:t>
      </w:r>
      <w:r>
        <w:rPr>
          <w:rFonts w:hint="eastAsia" w:eastAsiaTheme="minorEastAsia"/>
          <w:highlight w:val="none"/>
          <w:lang w:eastAsia="zh-CN"/>
        </w:rPr>
        <w:t>增加</w:t>
      </w:r>
      <w:r>
        <w:rPr>
          <w:highlight w:val="none"/>
        </w:rPr>
        <w:t>；项目支出减少</w:t>
      </w:r>
      <w:r>
        <w:rPr>
          <w:rFonts w:hint="eastAsia" w:eastAsiaTheme="minorEastAsia"/>
          <w:highlight w:val="none"/>
          <w:lang w:eastAsia="zh-CN"/>
        </w:rPr>
        <w:t>1</w:t>
      </w:r>
      <w:r>
        <w:rPr>
          <w:highlight w:val="none"/>
        </w:rPr>
        <w:t>万元，主要为减少科研项目支出。</w:t>
      </w:r>
    </w:p>
    <w:p>
      <w:pPr>
        <w:spacing w:before="10" w:after="10"/>
        <w:ind w:firstLine="640"/>
        <w:outlineLvl w:val="5"/>
        <w:rPr>
          <w:highlight w:val="none"/>
        </w:rPr>
      </w:pPr>
      <w:r>
        <w:rPr>
          <w:rFonts w:ascii="黑体" w:hAnsi="黑体" w:eastAsia="黑体" w:cs="黑体"/>
          <w:color w:val="000000"/>
          <w:sz w:val="32"/>
          <w:highlight w:val="none"/>
        </w:rPr>
        <w:t>三、机关运行经费安排情况</w:t>
      </w:r>
    </w:p>
    <w:p>
      <w:pPr>
        <w:pStyle w:val="31"/>
        <w:rPr>
          <w:highlight w:val="none"/>
        </w:rPr>
      </w:pPr>
      <w:r>
        <w:rPr>
          <w:highlight w:val="none"/>
        </w:rPr>
        <w:t>2022年，我单位运行经费共计安排0万元，主要用于日常维修、办公用房水电费、办公用房取暖费、办公用房物业管理费等日常运行支出。</w:t>
      </w:r>
    </w:p>
    <w:p>
      <w:pPr>
        <w:spacing w:before="10" w:after="10"/>
        <w:ind w:firstLine="640"/>
        <w:outlineLvl w:val="5"/>
        <w:rPr>
          <w:highlight w:val="none"/>
        </w:rPr>
      </w:pPr>
      <w:r>
        <w:rPr>
          <w:rFonts w:ascii="黑体" w:hAnsi="黑体" w:eastAsia="黑体" w:cs="黑体"/>
          <w:color w:val="000000"/>
          <w:sz w:val="32"/>
          <w:highlight w:val="none"/>
        </w:rPr>
        <w:t>四、财政拨款“三公”经费预算情况及增减变化原因</w:t>
      </w:r>
    </w:p>
    <w:p>
      <w:pPr>
        <w:pStyle w:val="32"/>
        <w:rPr>
          <w:highlight w:val="none"/>
        </w:rPr>
      </w:pPr>
      <w:r>
        <w:rPr>
          <w:highlight w:val="none"/>
        </w:rPr>
        <w:t>2022年，我单位财政拨款"三公"经费预算安排0万元，其中因公出国(境)费0万元；公用车购置及运维费0万元(其中:公务用车购置费0万元，公务用车运维费0万元)</w:t>
      </w:r>
      <w:r>
        <w:rPr>
          <w:rFonts w:hint="eastAsia" w:eastAsiaTheme="minorEastAsia"/>
          <w:highlight w:val="none"/>
          <w:lang w:eastAsia="zh-CN"/>
        </w:rPr>
        <w:t>；</w:t>
      </w:r>
      <w:r>
        <w:rPr>
          <w:highlight w:val="none"/>
        </w:rPr>
        <w:t>公务接待费0万元。与2021年相比持平，无增减变化。</w:t>
      </w:r>
    </w:p>
    <w:p>
      <w:pPr>
        <w:spacing w:before="10" w:after="10"/>
        <w:ind w:firstLine="640"/>
        <w:outlineLvl w:val="5"/>
        <w:rPr>
          <w:highlight w:val="none"/>
        </w:rPr>
      </w:pPr>
      <w:r>
        <w:rPr>
          <w:rFonts w:ascii="黑体" w:hAnsi="黑体" w:eastAsia="黑体" w:cs="黑体"/>
          <w:color w:val="000000"/>
          <w:sz w:val="32"/>
          <w:highlight w:val="none"/>
        </w:rPr>
        <w:t>五、预算绩效信息</w:t>
      </w:r>
    </w:p>
    <w:p>
      <w:pPr>
        <w:pStyle w:val="24"/>
        <w:ind w:firstLine="560"/>
        <w:rPr>
          <w:highlight w:val="none"/>
        </w:rPr>
      </w:pPr>
      <w:r>
        <w:rPr>
          <w:rFonts w:ascii="方正仿宋_GBK" w:hAnsi="方正仿宋_GBK" w:eastAsia="方正仿宋_GBK" w:cs="方正仿宋_GBK"/>
          <w:b/>
          <w:color w:val="000000"/>
          <w:sz w:val="28"/>
          <w:highlight w:val="none"/>
        </w:rPr>
        <w:t>1、2022年体制改革创新发展扶持专项绩效目标表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rPr>
                <w:highlight w:val="none"/>
              </w:rPr>
            </w:pPr>
            <w:r>
              <w:rPr>
                <w:highlight w:val="none"/>
              </w:rPr>
              <w:t>绩效目标</w:t>
            </w:r>
          </w:p>
        </w:tc>
        <w:tc>
          <w:tcPr>
            <w:tcW w:w="12756" w:type="dxa"/>
            <w:tcBorders>
              <w:bottom w:val="single" w:color="FFFFFF" w:sz="6" w:space="0"/>
            </w:tcBorders>
            <w:vAlign w:val="center"/>
          </w:tcPr>
          <w:p>
            <w:pPr>
              <w:pStyle w:val="26"/>
              <w:rPr>
                <w:highlight w:val="none"/>
              </w:rPr>
            </w:pPr>
            <w:r>
              <w:rPr>
                <w:highlight w:val="none"/>
              </w:rPr>
              <w:t>1.研制1套硅-金刚石复合衬底制备工艺</w:t>
            </w:r>
          </w:p>
          <w:p>
            <w:pPr>
              <w:pStyle w:val="26"/>
              <w:rPr>
                <w:highlight w:val="none"/>
              </w:rPr>
            </w:pPr>
            <w:r>
              <w:rPr>
                <w:highlight w:val="none"/>
              </w:rPr>
              <w:t>2.研究1套水冷金刚石窗封接工艺</w:t>
            </w:r>
          </w:p>
          <w:p>
            <w:pPr>
              <w:pStyle w:val="26"/>
              <w:rPr>
                <w:highlight w:val="none"/>
              </w:rPr>
            </w:pPr>
            <w:r>
              <w:rPr>
                <w:highlight w:val="none"/>
              </w:rPr>
              <w:t>3.建立1套金刚石膜抗弯强度测试技术规范</w:t>
            </w:r>
          </w:p>
          <w:p>
            <w:pPr>
              <w:pStyle w:val="26"/>
              <w:rPr>
                <w:highlight w:val="none"/>
              </w:rPr>
            </w:pPr>
            <w:r>
              <w:rPr>
                <w:highlight w:val="none"/>
              </w:rPr>
              <w:t>4.研制1套基于机器视觉的玻璃拉管内径检测系统</w:t>
            </w:r>
          </w:p>
          <w:p>
            <w:pPr>
              <w:pStyle w:val="26"/>
              <w:rPr>
                <w:highlight w:val="none"/>
              </w:rPr>
            </w:pPr>
            <w:r>
              <w:rPr>
                <w:highlight w:val="none"/>
              </w:rPr>
              <w:t>5.完善与提升玻璃管多档分拣系统与高速高精度玻管直径检测系统的质量和性能，推进产品市场应用和产业化进程</w:t>
            </w:r>
          </w:p>
          <w:p>
            <w:pPr>
              <w:pStyle w:val="26"/>
              <w:rPr>
                <w:highlight w:val="none"/>
              </w:rPr>
            </w:pPr>
            <w:r>
              <w:rPr>
                <w:highlight w:val="none"/>
              </w:rPr>
              <w:t>6.研究1套X光管灌封工艺</w:t>
            </w:r>
          </w:p>
        </w:tc>
      </w:tr>
    </w:tbl>
    <w:p>
      <w:pPr>
        <w:pStyle w:val="24"/>
        <w:spacing w:line="2" w:lineRule="exact"/>
        <w:jc w:val="center"/>
        <w:rPr>
          <w:highlight w:val="none"/>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rPr>
                <w:highlight w:val="none"/>
              </w:rPr>
            </w:pPr>
            <w:r>
              <w:rPr>
                <w:highlight w:val="none"/>
              </w:rPr>
              <w:t>一级指标</w:t>
            </w:r>
          </w:p>
        </w:tc>
        <w:tc>
          <w:tcPr>
            <w:tcW w:w="2268" w:type="dxa"/>
            <w:vAlign w:val="center"/>
          </w:tcPr>
          <w:p>
            <w:pPr>
              <w:pStyle w:val="25"/>
              <w:rPr>
                <w:highlight w:val="none"/>
              </w:rPr>
            </w:pPr>
            <w:r>
              <w:rPr>
                <w:highlight w:val="none"/>
              </w:rPr>
              <w:t>二级指标</w:t>
            </w:r>
          </w:p>
        </w:tc>
        <w:tc>
          <w:tcPr>
            <w:tcW w:w="2835" w:type="dxa"/>
            <w:vAlign w:val="center"/>
          </w:tcPr>
          <w:p>
            <w:pPr>
              <w:pStyle w:val="25"/>
              <w:rPr>
                <w:highlight w:val="none"/>
              </w:rPr>
            </w:pPr>
            <w:r>
              <w:rPr>
                <w:highlight w:val="none"/>
              </w:rPr>
              <w:t>三级指标</w:t>
            </w:r>
          </w:p>
        </w:tc>
        <w:tc>
          <w:tcPr>
            <w:tcW w:w="2835" w:type="dxa"/>
            <w:vAlign w:val="center"/>
          </w:tcPr>
          <w:p>
            <w:pPr>
              <w:pStyle w:val="25"/>
              <w:rPr>
                <w:highlight w:val="none"/>
              </w:rPr>
            </w:pPr>
            <w:r>
              <w:rPr>
                <w:highlight w:val="none"/>
              </w:rPr>
              <w:t>绩效指标描述</w:t>
            </w:r>
          </w:p>
        </w:tc>
        <w:tc>
          <w:tcPr>
            <w:tcW w:w="2551" w:type="dxa"/>
            <w:vAlign w:val="center"/>
          </w:tcPr>
          <w:p>
            <w:pPr>
              <w:pStyle w:val="25"/>
              <w:rPr>
                <w:highlight w:val="none"/>
              </w:rPr>
            </w:pPr>
            <w:r>
              <w:rPr>
                <w:highlight w:val="none"/>
              </w:rPr>
              <w:t>指标值</w:t>
            </w:r>
          </w:p>
        </w:tc>
        <w:tc>
          <w:tcPr>
            <w:tcW w:w="2268" w:type="dxa"/>
            <w:vAlign w:val="center"/>
          </w:tcPr>
          <w:p>
            <w:pPr>
              <w:pStyle w:val="2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rPr>
                <w:highlight w:val="none"/>
              </w:rPr>
            </w:pPr>
            <w:r>
              <w:rPr>
                <w:highlight w:val="none"/>
              </w:rPr>
              <w:t>产出指标</w:t>
            </w:r>
          </w:p>
        </w:tc>
        <w:tc>
          <w:tcPr>
            <w:tcW w:w="2268" w:type="dxa"/>
            <w:vAlign w:val="center"/>
          </w:tcPr>
          <w:p>
            <w:pPr>
              <w:pStyle w:val="26"/>
              <w:rPr>
                <w:highlight w:val="none"/>
              </w:rPr>
            </w:pPr>
            <w:r>
              <w:rPr>
                <w:highlight w:val="none"/>
              </w:rPr>
              <w:t>数量指标</w:t>
            </w:r>
          </w:p>
        </w:tc>
        <w:tc>
          <w:tcPr>
            <w:tcW w:w="2835" w:type="dxa"/>
            <w:vAlign w:val="center"/>
          </w:tcPr>
          <w:p>
            <w:pPr>
              <w:pStyle w:val="26"/>
              <w:rPr>
                <w:highlight w:val="none"/>
              </w:rPr>
            </w:pPr>
            <w:r>
              <w:rPr>
                <w:highlight w:val="none"/>
              </w:rPr>
              <w:t>新增产品、样机、工艺、测试规范</w:t>
            </w:r>
          </w:p>
        </w:tc>
        <w:tc>
          <w:tcPr>
            <w:tcW w:w="2835" w:type="dxa"/>
            <w:vAlign w:val="center"/>
          </w:tcPr>
          <w:p>
            <w:pPr>
              <w:pStyle w:val="26"/>
              <w:rPr>
                <w:highlight w:val="none"/>
              </w:rPr>
            </w:pPr>
            <w:r>
              <w:rPr>
                <w:highlight w:val="none"/>
              </w:rPr>
              <w:t>完成数量</w:t>
            </w:r>
          </w:p>
        </w:tc>
        <w:tc>
          <w:tcPr>
            <w:tcW w:w="2551" w:type="dxa"/>
            <w:vAlign w:val="center"/>
          </w:tcPr>
          <w:p>
            <w:pPr>
              <w:pStyle w:val="26"/>
              <w:rPr>
                <w:highlight w:val="none"/>
              </w:rPr>
            </w:pPr>
            <w:r>
              <w:rPr>
                <w:highlight w:val="none"/>
              </w:rPr>
              <w:t>≥6个</w:t>
            </w:r>
          </w:p>
        </w:tc>
        <w:tc>
          <w:tcPr>
            <w:tcW w:w="2268" w:type="dxa"/>
            <w:vAlign w:val="center"/>
          </w:tcPr>
          <w:p>
            <w:pPr>
              <w:pStyle w:val="26"/>
              <w:rPr>
                <w:highlight w:val="none"/>
              </w:rPr>
            </w:pPr>
            <w:r>
              <w:rPr>
                <w:highlight w:val="none"/>
              </w:rPr>
              <w:t>河北省科学院部门职责工作活动列表和河北省科学院科技计划与平台建设项目指南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rPr>
                <w:highlight w:val="none"/>
              </w:rPr>
            </w:pPr>
          </w:p>
        </w:tc>
        <w:tc>
          <w:tcPr>
            <w:tcW w:w="2268" w:type="dxa"/>
            <w:vAlign w:val="center"/>
          </w:tcPr>
          <w:p>
            <w:pPr>
              <w:pStyle w:val="26"/>
              <w:rPr>
                <w:highlight w:val="none"/>
              </w:rPr>
            </w:pPr>
            <w:r>
              <w:rPr>
                <w:highlight w:val="none"/>
              </w:rPr>
              <w:t>质量指标</w:t>
            </w:r>
          </w:p>
        </w:tc>
        <w:tc>
          <w:tcPr>
            <w:tcW w:w="2835" w:type="dxa"/>
            <w:vAlign w:val="center"/>
          </w:tcPr>
          <w:p>
            <w:pPr>
              <w:pStyle w:val="26"/>
              <w:rPr>
                <w:highlight w:val="none"/>
              </w:rPr>
            </w:pPr>
            <w:r>
              <w:rPr>
                <w:highlight w:val="none"/>
              </w:rPr>
              <w:t>技术指标完成的质量</w:t>
            </w:r>
          </w:p>
        </w:tc>
        <w:tc>
          <w:tcPr>
            <w:tcW w:w="2835" w:type="dxa"/>
            <w:vAlign w:val="center"/>
          </w:tcPr>
          <w:p>
            <w:pPr>
              <w:pStyle w:val="26"/>
              <w:rPr>
                <w:highlight w:val="none"/>
              </w:rPr>
            </w:pPr>
            <w:r>
              <w:rPr>
                <w:highlight w:val="none"/>
              </w:rPr>
              <w:t>项目任务书中制定的技术指标的完成比率</w:t>
            </w:r>
          </w:p>
        </w:tc>
        <w:tc>
          <w:tcPr>
            <w:tcW w:w="2551" w:type="dxa"/>
            <w:vAlign w:val="center"/>
          </w:tcPr>
          <w:p>
            <w:pPr>
              <w:pStyle w:val="26"/>
              <w:rPr>
                <w:highlight w:val="none"/>
              </w:rPr>
            </w:pPr>
            <w:r>
              <w:rPr>
                <w:highlight w:val="none"/>
              </w:rPr>
              <w:t>100%</w:t>
            </w:r>
          </w:p>
        </w:tc>
        <w:tc>
          <w:tcPr>
            <w:tcW w:w="2268" w:type="dxa"/>
            <w:vAlign w:val="center"/>
          </w:tcPr>
          <w:p>
            <w:pPr>
              <w:pStyle w:val="26"/>
              <w:rPr>
                <w:highlight w:val="none"/>
              </w:rPr>
            </w:pPr>
            <w:r>
              <w:rPr>
                <w:highlight w:val="none"/>
              </w:rPr>
              <w:t>河北省科学院部门职责工作活动列表和河北省科学院科技计划与平台建设项目指南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rPr>
                <w:highlight w:val="none"/>
              </w:rPr>
            </w:pPr>
          </w:p>
        </w:tc>
        <w:tc>
          <w:tcPr>
            <w:tcW w:w="2268" w:type="dxa"/>
            <w:vAlign w:val="center"/>
          </w:tcPr>
          <w:p>
            <w:pPr>
              <w:pStyle w:val="26"/>
              <w:rPr>
                <w:highlight w:val="none"/>
              </w:rPr>
            </w:pPr>
            <w:r>
              <w:rPr>
                <w:highlight w:val="none"/>
              </w:rPr>
              <w:t>时效指标</w:t>
            </w:r>
          </w:p>
        </w:tc>
        <w:tc>
          <w:tcPr>
            <w:tcW w:w="2835" w:type="dxa"/>
            <w:vAlign w:val="center"/>
          </w:tcPr>
          <w:p>
            <w:pPr>
              <w:pStyle w:val="26"/>
              <w:rPr>
                <w:highlight w:val="none"/>
              </w:rPr>
            </w:pPr>
            <w:r>
              <w:rPr>
                <w:highlight w:val="none"/>
              </w:rPr>
              <w:t>项目完成时间</w:t>
            </w:r>
          </w:p>
        </w:tc>
        <w:tc>
          <w:tcPr>
            <w:tcW w:w="2835" w:type="dxa"/>
            <w:vAlign w:val="center"/>
          </w:tcPr>
          <w:p>
            <w:pPr>
              <w:pStyle w:val="26"/>
              <w:rPr>
                <w:highlight w:val="none"/>
              </w:rPr>
            </w:pPr>
            <w:r>
              <w:rPr>
                <w:highlight w:val="none"/>
              </w:rPr>
              <w:t>项目完成时间</w:t>
            </w:r>
          </w:p>
        </w:tc>
        <w:tc>
          <w:tcPr>
            <w:tcW w:w="2551" w:type="dxa"/>
            <w:vAlign w:val="center"/>
          </w:tcPr>
          <w:p>
            <w:pPr>
              <w:pStyle w:val="26"/>
              <w:rPr>
                <w:highlight w:val="none"/>
              </w:rPr>
            </w:pPr>
            <w:r>
              <w:rPr>
                <w:highlight w:val="none"/>
              </w:rPr>
              <w:t>2022年12月31日之前</w:t>
            </w:r>
          </w:p>
        </w:tc>
        <w:tc>
          <w:tcPr>
            <w:tcW w:w="2268" w:type="dxa"/>
            <w:vAlign w:val="center"/>
          </w:tcPr>
          <w:p>
            <w:pPr>
              <w:pStyle w:val="26"/>
              <w:rPr>
                <w:highlight w:val="none"/>
              </w:rPr>
            </w:pPr>
            <w:r>
              <w:rPr>
                <w:highlight w:val="none"/>
              </w:rPr>
              <w:t>河北省科学院部门职责工作活动列表和河北省科学院科技计划与平台建设项目指南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rPr>
                <w:highlight w:val="none"/>
              </w:rPr>
            </w:pPr>
          </w:p>
        </w:tc>
        <w:tc>
          <w:tcPr>
            <w:tcW w:w="2268" w:type="dxa"/>
            <w:vAlign w:val="center"/>
          </w:tcPr>
          <w:p>
            <w:pPr>
              <w:pStyle w:val="26"/>
              <w:rPr>
                <w:highlight w:val="none"/>
              </w:rPr>
            </w:pPr>
            <w:r>
              <w:rPr>
                <w:highlight w:val="none"/>
              </w:rPr>
              <w:t>成本指标</w:t>
            </w:r>
          </w:p>
        </w:tc>
        <w:tc>
          <w:tcPr>
            <w:tcW w:w="2835" w:type="dxa"/>
            <w:vAlign w:val="center"/>
          </w:tcPr>
          <w:p>
            <w:pPr>
              <w:pStyle w:val="26"/>
              <w:rPr>
                <w:highlight w:val="none"/>
              </w:rPr>
            </w:pPr>
            <w:r>
              <w:rPr>
                <w:highlight w:val="none"/>
              </w:rPr>
              <w:t>项目预算控制数</w:t>
            </w:r>
          </w:p>
        </w:tc>
        <w:tc>
          <w:tcPr>
            <w:tcW w:w="2835" w:type="dxa"/>
            <w:vAlign w:val="center"/>
          </w:tcPr>
          <w:p>
            <w:pPr>
              <w:pStyle w:val="26"/>
              <w:rPr>
                <w:highlight w:val="none"/>
              </w:rPr>
            </w:pPr>
            <w:r>
              <w:rPr>
                <w:highlight w:val="none"/>
              </w:rPr>
              <w:t>不超过预算项目费额度</w:t>
            </w:r>
          </w:p>
        </w:tc>
        <w:tc>
          <w:tcPr>
            <w:tcW w:w="2551" w:type="dxa"/>
            <w:vAlign w:val="center"/>
          </w:tcPr>
          <w:p>
            <w:pPr>
              <w:pStyle w:val="26"/>
              <w:rPr>
                <w:highlight w:val="none"/>
              </w:rPr>
            </w:pPr>
            <w:r>
              <w:rPr>
                <w:highlight w:val="none"/>
              </w:rPr>
              <w:t>≤326万元</w:t>
            </w:r>
          </w:p>
        </w:tc>
        <w:tc>
          <w:tcPr>
            <w:tcW w:w="2268" w:type="dxa"/>
            <w:vAlign w:val="center"/>
          </w:tcPr>
          <w:p>
            <w:pPr>
              <w:pStyle w:val="26"/>
              <w:rPr>
                <w:highlight w:val="none"/>
              </w:rPr>
            </w:pPr>
            <w:r>
              <w:rPr>
                <w:highlight w:val="none"/>
              </w:rPr>
              <w:t>河北省科学院部门职责工作活动列表和河北省科学院科技计划与平台建设项目指南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rPr>
                <w:highlight w:val="none"/>
              </w:rPr>
            </w:pPr>
            <w:r>
              <w:rPr>
                <w:highlight w:val="none"/>
              </w:rPr>
              <w:t>效益指标</w:t>
            </w:r>
          </w:p>
        </w:tc>
        <w:tc>
          <w:tcPr>
            <w:tcW w:w="2268" w:type="dxa"/>
            <w:vAlign w:val="center"/>
          </w:tcPr>
          <w:p>
            <w:pPr>
              <w:pStyle w:val="26"/>
              <w:rPr>
                <w:highlight w:val="none"/>
              </w:rPr>
            </w:pPr>
            <w:r>
              <w:rPr>
                <w:highlight w:val="none"/>
              </w:rPr>
              <w:t>经济效益指标</w:t>
            </w:r>
          </w:p>
        </w:tc>
        <w:tc>
          <w:tcPr>
            <w:tcW w:w="2835" w:type="dxa"/>
            <w:vAlign w:val="center"/>
          </w:tcPr>
          <w:p>
            <w:pPr>
              <w:pStyle w:val="26"/>
              <w:rPr>
                <w:highlight w:val="none"/>
              </w:rPr>
            </w:pPr>
            <w:r>
              <w:rPr>
                <w:highlight w:val="none"/>
              </w:rPr>
              <w:t>项目实现销售收入</w:t>
            </w:r>
          </w:p>
        </w:tc>
        <w:tc>
          <w:tcPr>
            <w:tcW w:w="2835" w:type="dxa"/>
            <w:vAlign w:val="center"/>
          </w:tcPr>
          <w:p>
            <w:pPr>
              <w:pStyle w:val="26"/>
              <w:rPr>
                <w:highlight w:val="none"/>
              </w:rPr>
            </w:pPr>
            <w:r>
              <w:rPr>
                <w:highlight w:val="none"/>
              </w:rPr>
              <w:t>项目实现销售收入</w:t>
            </w:r>
          </w:p>
        </w:tc>
        <w:tc>
          <w:tcPr>
            <w:tcW w:w="2551" w:type="dxa"/>
            <w:vAlign w:val="center"/>
          </w:tcPr>
          <w:p>
            <w:pPr>
              <w:pStyle w:val="26"/>
              <w:rPr>
                <w:highlight w:val="none"/>
              </w:rPr>
            </w:pPr>
            <w:r>
              <w:rPr>
                <w:highlight w:val="none"/>
              </w:rPr>
              <w:t>≥50万元</w:t>
            </w:r>
          </w:p>
        </w:tc>
        <w:tc>
          <w:tcPr>
            <w:tcW w:w="2268" w:type="dxa"/>
            <w:vAlign w:val="center"/>
          </w:tcPr>
          <w:p>
            <w:pPr>
              <w:pStyle w:val="26"/>
              <w:rPr>
                <w:highlight w:val="none"/>
              </w:rPr>
            </w:pPr>
            <w:r>
              <w:rPr>
                <w:highlight w:val="none"/>
              </w:rPr>
              <w:t>根据项目的经济效益和社会效益指标确定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rPr>
                <w:highlight w:val="none"/>
              </w:rPr>
            </w:pPr>
          </w:p>
        </w:tc>
        <w:tc>
          <w:tcPr>
            <w:tcW w:w="2268" w:type="dxa"/>
            <w:vAlign w:val="center"/>
          </w:tcPr>
          <w:p>
            <w:pPr>
              <w:pStyle w:val="26"/>
              <w:rPr>
                <w:highlight w:val="none"/>
              </w:rPr>
            </w:pPr>
            <w:r>
              <w:rPr>
                <w:highlight w:val="none"/>
              </w:rPr>
              <w:t>社会效益指标</w:t>
            </w:r>
          </w:p>
        </w:tc>
        <w:tc>
          <w:tcPr>
            <w:tcW w:w="2835" w:type="dxa"/>
            <w:vAlign w:val="center"/>
          </w:tcPr>
          <w:p>
            <w:pPr>
              <w:pStyle w:val="26"/>
              <w:rPr>
                <w:highlight w:val="none"/>
              </w:rPr>
            </w:pPr>
            <w:r>
              <w:rPr>
                <w:highlight w:val="none"/>
              </w:rPr>
              <w:t>对应用行业的推动能力</w:t>
            </w:r>
          </w:p>
        </w:tc>
        <w:tc>
          <w:tcPr>
            <w:tcW w:w="2835" w:type="dxa"/>
            <w:vAlign w:val="center"/>
          </w:tcPr>
          <w:p>
            <w:pPr>
              <w:pStyle w:val="26"/>
              <w:rPr>
                <w:highlight w:val="none"/>
              </w:rPr>
            </w:pPr>
            <w:r>
              <w:rPr>
                <w:highlight w:val="none"/>
              </w:rPr>
              <w:t>对行业推动</w:t>
            </w:r>
          </w:p>
        </w:tc>
        <w:tc>
          <w:tcPr>
            <w:tcW w:w="2551" w:type="dxa"/>
            <w:vAlign w:val="center"/>
          </w:tcPr>
          <w:p>
            <w:pPr>
              <w:pStyle w:val="26"/>
              <w:rPr>
                <w:highlight w:val="none"/>
              </w:rPr>
            </w:pPr>
            <w:r>
              <w:rPr>
                <w:highlight w:val="none"/>
              </w:rPr>
              <w:t>可有力促进CVD金刚石行业应用、光电测控技术行业应用和X射线无损加测技术的行业应用。</w:t>
            </w:r>
          </w:p>
        </w:tc>
        <w:tc>
          <w:tcPr>
            <w:tcW w:w="2268" w:type="dxa"/>
            <w:vAlign w:val="center"/>
          </w:tcPr>
          <w:p>
            <w:pPr>
              <w:pStyle w:val="26"/>
              <w:rPr>
                <w:highlight w:val="none"/>
              </w:rPr>
            </w:pPr>
            <w:r>
              <w:rPr>
                <w:highlight w:val="none"/>
              </w:rPr>
              <w:t>根据项目的经济效益和社会效益指标确定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rPr>
                <w:highlight w:val="none"/>
              </w:rPr>
            </w:pPr>
          </w:p>
        </w:tc>
        <w:tc>
          <w:tcPr>
            <w:tcW w:w="2268" w:type="dxa"/>
            <w:vAlign w:val="center"/>
          </w:tcPr>
          <w:p>
            <w:pPr>
              <w:pStyle w:val="26"/>
              <w:rPr>
                <w:highlight w:val="none"/>
              </w:rPr>
            </w:pPr>
            <w:r>
              <w:rPr>
                <w:highlight w:val="none"/>
              </w:rPr>
              <w:t>可持续影响指标</w:t>
            </w:r>
          </w:p>
        </w:tc>
        <w:tc>
          <w:tcPr>
            <w:tcW w:w="2835" w:type="dxa"/>
            <w:vAlign w:val="center"/>
          </w:tcPr>
          <w:p>
            <w:pPr>
              <w:pStyle w:val="26"/>
              <w:rPr>
                <w:highlight w:val="none"/>
              </w:rPr>
            </w:pPr>
            <w:r>
              <w:rPr>
                <w:highlight w:val="none"/>
              </w:rPr>
              <w:t>项目持续发挥作用期限</w:t>
            </w:r>
          </w:p>
        </w:tc>
        <w:tc>
          <w:tcPr>
            <w:tcW w:w="2835" w:type="dxa"/>
            <w:vAlign w:val="center"/>
          </w:tcPr>
          <w:p>
            <w:pPr>
              <w:pStyle w:val="26"/>
              <w:rPr>
                <w:highlight w:val="none"/>
              </w:rPr>
            </w:pPr>
            <w:r>
              <w:rPr>
                <w:highlight w:val="none"/>
              </w:rPr>
              <w:t>项目实施对自身及应用行业的持续影响</w:t>
            </w:r>
          </w:p>
        </w:tc>
        <w:tc>
          <w:tcPr>
            <w:tcW w:w="2551" w:type="dxa"/>
            <w:vAlign w:val="center"/>
          </w:tcPr>
          <w:p>
            <w:pPr>
              <w:pStyle w:val="26"/>
              <w:rPr>
                <w:highlight w:val="none"/>
              </w:rPr>
            </w:pPr>
            <w:r>
              <w:rPr>
                <w:highlight w:val="none"/>
              </w:rPr>
              <w:t>长期</w:t>
            </w:r>
          </w:p>
        </w:tc>
        <w:tc>
          <w:tcPr>
            <w:tcW w:w="2268" w:type="dxa"/>
            <w:vAlign w:val="center"/>
          </w:tcPr>
          <w:p>
            <w:pPr>
              <w:pStyle w:val="26"/>
              <w:rPr>
                <w:highlight w:val="none"/>
              </w:rPr>
            </w:pPr>
            <w:r>
              <w:rPr>
                <w:highlight w:val="none"/>
              </w:rPr>
              <w:t>根据项目的经济效益和社会效益指标确定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rPr>
                <w:highlight w:val="none"/>
              </w:rPr>
            </w:pPr>
            <w:r>
              <w:rPr>
                <w:highlight w:val="none"/>
              </w:rPr>
              <w:t>满意度指标</w:t>
            </w:r>
          </w:p>
        </w:tc>
        <w:tc>
          <w:tcPr>
            <w:tcW w:w="2268" w:type="dxa"/>
            <w:vAlign w:val="center"/>
          </w:tcPr>
          <w:p>
            <w:pPr>
              <w:pStyle w:val="26"/>
              <w:rPr>
                <w:highlight w:val="none"/>
              </w:rPr>
            </w:pPr>
            <w:r>
              <w:rPr>
                <w:highlight w:val="none"/>
              </w:rPr>
              <w:t>服务对象满意度指标</w:t>
            </w:r>
          </w:p>
        </w:tc>
        <w:tc>
          <w:tcPr>
            <w:tcW w:w="2835" w:type="dxa"/>
            <w:vAlign w:val="center"/>
          </w:tcPr>
          <w:p>
            <w:pPr>
              <w:pStyle w:val="26"/>
              <w:rPr>
                <w:highlight w:val="none"/>
              </w:rPr>
            </w:pPr>
            <w:r>
              <w:rPr>
                <w:highlight w:val="none"/>
              </w:rPr>
              <w:t>用户满意度</w:t>
            </w:r>
          </w:p>
        </w:tc>
        <w:tc>
          <w:tcPr>
            <w:tcW w:w="2835" w:type="dxa"/>
            <w:vAlign w:val="center"/>
          </w:tcPr>
          <w:p>
            <w:pPr>
              <w:pStyle w:val="26"/>
              <w:rPr>
                <w:highlight w:val="none"/>
              </w:rPr>
            </w:pPr>
            <w:r>
              <w:rPr>
                <w:highlight w:val="none"/>
              </w:rPr>
              <w:t>用户满意和较满意的数量占总用户人数的比率</w:t>
            </w:r>
          </w:p>
        </w:tc>
        <w:tc>
          <w:tcPr>
            <w:tcW w:w="2551" w:type="dxa"/>
            <w:vAlign w:val="center"/>
          </w:tcPr>
          <w:p>
            <w:pPr>
              <w:pStyle w:val="26"/>
              <w:rPr>
                <w:highlight w:val="none"/>
              </w:rPr>
            </w:pPr>
            <w:r>
              <w:rPr>
                <w:highlight w:val="none"/>
              </w:rPr>
              <w:t>≥90%</w:t>
            </w:r>
          </w:p>
        </w:tc>
        <w:tc>
          <w:tcPr>
            <w:tcW w:w="2268" w:type="dxa"/>
            <w:vAlign w:val="center"/>
          </w:tcPr>
          <w:p>
            <w:pPr>
              <w:pStyle w:val="26"/>
              <w:rPr>
                <w:highlight w:val="none"/>
              </w:rPr>
            </w:pPr>
            <w:r>
              <w:rPr>
                <w:highlight w:val="none"/>
              </w:rPr>
              <w:t>根据调查中用户满意和较满意的数量占总用户人数的比率的比率确定评价标准</w:t>
            </w:r>
          </w:p>
        </w:tc>
      </w:tr>
    </w:tbl>
    <w:p>
      <w:pPr>
        <w:pStyle w:val="24"/>
        <w:rPr>
          <w:highlight w:val="none"/>
        </w:rPr>
        <w:sectPr>
          <w:pgSz w:w="16840" w:h="11900" w:orient="landscape"/>
          <w:pgMar w:top="1361" w:right="1020" w:bottom="1361" w:left="1020"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spacing w:line="500" w:lineRule="exact"/>
        <w:ind w:firstLine="560"/>
        <w:rPr>
          <w:highlight w:val="none"/>
        </w:rPr>
      </w:pPr>
      <w:r>
        <w:rPr>
          <w:rFonts w:eastAsia="方正仿宋_GBK"/>
          <w:color w:val="000000"/>
          <w:sz w:val="28"/>
          <w:highlight w:val="none"/>
        </w:rPr>
        <w:t>2022年，河北省激光研究所有限公司安排政府采购预算0.00万元。具体内容见下表。</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8674" w:type="dxa"/>
            <w:gridSpan w:val="9"/>
            <w:tcBorders>
              <w:top w:val="single" w:color="FFFFFF" w:sz="6" w:space="0"/>
              <w:left w:val="single" w:color="FFFFFF" w:sz="6" w:space="0"/>
              <w:right w:val="single" w:color="FFFFFF" w:sz="6" w:space="0"/>
            </w:tcBorders>
            <w:vAlign w:val="center"/>
          </w:tcPr>
          <w:p>
            <w:pPr>
              <w:pStyle w:val="28"/>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7710" w:type="dxa"/>
            <w:gridSpan w:val="8"/>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财政拨    款结转</w:t>
            </w:r>
          </w:p>
        </w:tc>
        <w:tc>
          <w:tcPr>
            <w:tcW w:w="964" w:type="dxa"/>
            <w:vAlign w:val="center"/>
          </w:tcPr>
          <w:p>
            <w:pPr>
              <w:pStyle w:val="10"/>
              <w:rPr>
                <w:highlight w:val="none"/>
              </w:rPr>
            </w:pPr>
            <w:r>
              <w:rPr>
                <w:highlight w:val="none"/>
              </w:rPr>
              <w:t>非财政    拨款结    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p>
        </w:tc>
        <w:tc>
          <w:tcPr>
            <w:tcW w:w="964" w:type="dxa"/>
            <w:vAlign w:val="center"/>
          </w:tcPr>
          <w:p>
            <w:pPr>
              <w:pStyle w:val="11"/>
              <w:rPr>
                <w:highlight w:val="none"/>
              </w:rPr>
            </w:pPr>
          </w:p>
        </w:tc>
        <w:tc>
          <w:tcPr>
            <w:tcW w:w="1134" w:type="dxa"/>
            <w:vAlign w:val="center"/>
          </w:tcPr>
          <w:p>
            <w:pPr>
              <w:pStyle w:val="12"/>
              <w:rPr>
                <w:highlight w:val="none"/>
              </w:rPr>
            </w:pPr>
          </w:p>
        </w:tc>
        <w:tc>
          <w:tcPr>
            <w:tcW w:w="1134" w:type="dxa"/>
            <w:vAlign w:val="center"/>
          </w:tcPr>
          <w:p>
            <w:pPr>
              <w:pStyle w:val="12"/>
              <w:rPr>
                <w:highlight w:val="none"/>
              </w:rPr>
            </w:pPr>
          </w:p>
        </w:tc>
        <w:tc>
          <w:tcPr>
            <w:tcW w:w="709" w:type="dxa"/>
            <w:vAlign w:val="center"/>
          </w:tcPr>
          <w:p>
            <w:pPr>
              <w:pStyle w:val="13"/>
              <w:rPr>
                <w:highlight w:val="none"/>
              </w:rPr>
            </w:pPr>
          </w:p>
        </w:tc>
        <w:tc>
          <w:tcPr>
            <w:tcW w:w="850" w:type="dxa"/>
            <w:vAlign w:val="center"/>
          </w:tcPr>
          <w:p>
            <w:pPr>
              <w:pStyle w:val="11"/>
              <w:rPr>
                <w:highlight w:val="none"/>
              </w:rPr>
            </w:pPr>
          </w:p>
        </w:tc>
        <w:tc>
          <w:tcPr>
            <w:tcW w:w="850"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highlight w:val="none"/>
        </w:rPr>
      </w:pPr>
      <w:r>
        <w:rPr>
          <w:rFonts w:eastAsia="方正仿宋_GBK"/>
          <w:color w:val="000000"/>
          <w:sz w:val="28"/>
          <w:highlight w:val="none"/>
        </w:rPr>
        <w:t>河北省激光研究所有限公司上年末固定资产金额为0.00万元（详见下表）。本年度拟购置固定资产总额为0.00万元，已按要求列入政府采购预算，详见政府采购预算表。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p>
        </w:tc>
        <w:tc>
          <w:tcPr>
            <w:tcW w:w="2835" w:type="dxa"/>
            <w:vAlign w:val="center"/>
          </w:tcPr>
          <w:p>
            <w:pPr>
              <w:pStyle w:val="11"/>
              <w:rPr>
                <w:highlight w:val="none"/>
              </w:rPr>
            </w:pPr>
          </w:p>
        </w:tc>
      </w:tr>
    </w:tbl>
    <w:p>
      <w:pPr>
        <w:ind w:firstLine="420"/>
        <w:rPr>
          <w:highlight w:val="none"/>
        </w:rPr>
      </w:pPr>
      <w:r>
        <w:rPr>
          <w:rFonts w:ascii="方正书宋_GBK" w:hAnsi="方正书宋_GBK" w:eastAsia="方正书宋_GBK" w:cs="方正书宋_GBK"/>
          <w:color w:val="000000"/>
          <w:sz w:val="21"/>
          <w:highlight w:val="none"/>
        </w:rPr>
        <w:t>注：无固定资产占用情况，空表列示。</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一般公共预算拨款收入：</w:t>
      </w:r>
      <w:r>
        <w:rPr>
          <w:rFonts w:eastAsia="方正仿宋_GBK"/>
          <w:color w:val="000000"/>
          <w:sz w:val="28"/>
          <w:highlight w:val="none"/>
        </w:rPr>
        <w:t>指省级财政当年拨付的资金。</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其他收入：</w:t>
      </w:r>
      <w:r>
        <w:rPr>
          <w:rFonts w:eastAsia="方正仿宋_GBK"/>
          <w:color w:val="000000"/>
          <w:sz w:val="28"/>
          <w:highlight w:val="none"/>
        </w:rPr>
        <w:t>指除“一般公共预算拨款收入”、“事业收入”等以外的收入。主要是按规定动用的租房收入、存款利息收入等。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基本支出：</w:t>
      </w:r>
      <w:r>
        <w:rPr>
          <w:rFonts w:eastAsia="方正仿宋_GBK"/>
          <w:color w:val="000000"/>
          <w:sz w:val="28"/>
          <w:highlight w:val="none"/>
        </w:rPr>
        <w:t>指为保障机构正常运转、完成日常工作任务而发生的人员支出和公用支出。</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项目支出：</w:t>
      </w:r>
      <w:r>
        <w:rPr>
          <w:rFonts w:eastAsia="方正仿宋_GBK"/>
          <w:color w:val="000000"/>
          <w:sz w:val="28"/>
          <w:highlight w:val="none"/>
        </w:rPr>
        <w:t>指在基本支出之外为完成特定行政任务和事业发展目标所发生的支出。</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上缴上级支出：</w:t>
      </w:r>
      <w:r>
        <w:rPr>
          <w:rFonts w:eastAsia="方正仿宋_GBK"/>
          <w:color w:val="000000"/>
          <w:sz w:val="28"/>
          <w:highlight w:val="none"/>
        </w:rPr>
        <w:t>指下级单位上缴上级的支出。</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“三公”经费：</w:t>
      </w:r>
      <w:r>
        <w:rPr>
          <w:rFonts w:eastAsia="方正仿宋_GBK"/>
          <w:color w:val="000000"/>
          <w:sz w:val="28"/>
          <w:highlight w:val="none"/>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机关运行费：</w:t>
      </w:r>
      <w:r>
        <w:rPr>
          <w:rFonts w:eastAsia="方正仿宋_GBK"/>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上年结转：</w:t>
      </w:r>
      <w:r>
        <w:rPr>
          <w:rFonts w:eastAsia="方正仿宋_GBK"/>
          <w:color w:val="000000"/>
          <w:sz w:val="28"/>
          <w:highlight w:val="none"/>
        </w:rPr>
        <w:t>指以前年度尚未完成、结转到本年仍按原规定用途继续使用的资金。</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highlight w:val="none"/>
        </w:rPr>
        <w:sectPr>
          <w:pgSz w:w="16840" w:h="11900" w:orient="landscape"/>
          <w:pgMar w:top="1361" w:right="1020" w:bottom="1134" w:left="1020" w:header="720" w:footer="720" w:gutter="0"/>
          <w:cols w:space="720" w:num="1"/>
        </w:sectPr>
      </w:pPr>
      <w:r>
        <w:rPr>
          <w:rFonts w:eastAsia="方正仿宋_GBK"/>
          <w:color w:val="000000"/>
          <w:sz w:val="28"/>
          <w:highlight w:val="none"/>
        </w:rPr>
        <w:t>我单位无其他需要说明的事项。</w:t>
      </w:r>
    </w:p>
    <w:p>
      <w:pPr>
        <w:spacing w:line="500" w:lineRule="exact"/>
        <w:rPr>
          <w:highlight w:val="none"/>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TBhNDhjNWM4NmUzZWY4OWYzZTZkMzA2MGFkMmQifQ=="/>
  </w:docVars>
  <w:rsids>
    <w:rsidRoot w:val="002956CF"/>
    <w:rsid w:val="000E18A2"/>
    <w:rsid w:val="000E21C8"/>
    <w:rsid w:val="0015175E"/>
    <w:rsid w:val="001A180A"/>
    <w:rsid w:val="001C678C"/>
    <w:rsid w:val="001E6607"/>
    <w:rsid w:val="00205168"/>
    <w:rsid w:val="00220241"/>
    <w:rsid w:val="0022155C"/>
    <w:rsid w:val="00250CAD"/>
    <w:rsid w:val="00290178"/>
    <w:rsid w:val="002956CF"/>
    <w:rsid w:val="002E6355"/>
    <w:rsid w:val="002F1A74"/>
    <w:rsid w:val="002F4595"/>
    <w:rsid w:val="00312645"/>
    <w:rsid w:val="00313EAD"/>
    <w:rsid w:val="00364C71"/>
    <w:rsid w:val="0037240F"/>
    <w:rsid w:val="003A309D"/>
    <w:rsid w:val="003A46AD"/>
    <w:rsid w:val="003B097C"/>
    <w:rsid w:val="003C3EE4"/>
    <w:rsid w:val="003E1341"/>
    <w:rsid w:val="003F21A2"/>
    <w:rsid w:val="0040000C"/>
    <w:rsid w:val="00436FAB"/>
    <w:rsid w:val="004758CB"/>
    <w:rsid w:val="0049314A"/>
    <w:rsid w:val="004B254A"/>
    <w:rsid w:val="00506E47"/>
    <w:rsid w:val="00533F60"/>
    <w:rsid w:val="00565649"/>
    <w:rsid w:val="00606A20"/>
    <w:rsid w:val="00622962"/>
    <w:rsid w:val="00676936"/>
    <w:rsid w:val="006A498A"/>
    <w:rsid w:val="006C7D4D"/>
    <w:rsid w:val="00721B2D"/>
    <w:rsid w:val="007360CE"/>
    <w:rsid w:val="007658C9"/>
    <w:rsid w:val="007D32F0"/>
    <w:rsid w:val="007F7FF3"/>
    <w:rsid w:val="00814DDE"/>
    <w:rsid w:val="00866DCB"/>
    <w:rsid w:val="008B2586"/>
    <w:rsid w:val="008C251B"/>
    <w:rsid w:val="008C6A54"/>
    <w:rsid w:val="008E51BE"/>
    <w:rsid w:val="008F5072"/>
    <w:rsid w:val="00982BA2"/>
    <w:rsid w:val="009D3570"/>
    <w:rsid w:val="009D4254"/>
    <w:rsid w:val="00A10220"/>
    <w:rsid w:val="00A658A0"/>
    <w:rsid w:val="00A7509F"/>
    <w:rsid w:val="00A828C2"/>
    <w:rsid w:val="00AC1302"/>
    <w:rsid w:val="00AC543C"/>
    <w:rsid w:val="00B13B0C"/>
    <w:rsid w:val="00B2291A"/>
    <w:rsid w:val="00BC0291"/>
    <w:rsid w:val="00C23672"/>
    <w:rsid w:val="00C41909"/>
    <w:rsid w:val="00C443D3"/>
    <w:rsid w:val="00C85033"/>
    <w:rsid w:val="00CC50D0"/>
    <w:rsid w:val="00CE2DEA"/>
    <w:rsid w:val="00CE6160"/>
    <w:rsid w:val="00D32E37"/>
    <w:rsid w:val="00D702E4"/>
    <w:rsid w:val="00D836AF"/>
    <w:rsid w:val="00DB7E11"/>
    <w:rsid w:val="00DF1E41"/>
    <w:rsid w:val="00E07049"/>
    <w:rsid w:val="00E40BFC"/>
    <w:rsid w:val="00E44B37"/>
    <w:rsid w:val="00E44E3B"/>
    <w:rsid w:val="00E60FFF"/>
    <w:rsid w:val="00E8426B"/>
    <w:rsid w:val="00E93E96"/>
    <w:rsid w:val="00EE3577"/>
    <w:rsid w:val="00EF72B0"/>
    <w:rsid w:val="00F7453A"/>
    <w:rsid w:val="00F862B7"/>
    <w:rsid w:val="00F871C6"/>
    <w:rsid w:val="00FB386B"/>
    <w:rsid w:val="00FC682F"/>
    <w:rsid w:val="121D3BF2"/>
    <w:rsid w:val="12E81871"/>
    <w:rsid w:val="17C05FF9"/>
    <w:rsid w:val="192B7E13"/>
    <w:rsid w:val="1BEA37D0"/>
    <w:rsid w:val="202E7070"/>
    <w:rsid w:val="258F7B44"/>
    <w:rsid w:val="2AB7478C"/>
    <w:rsid w:val="2E8908D9"/>
    <w:rsid w:val="377D439C"/>
    <w:rsid w:val="381751C1"/>
    <w:rsid w:val="42E819D7"/>
    <w:rsid w:val="448F24E2"/>
    <w:rsid w:val="4E816710"/>
    <w:rsid w:val="583A23D4"/>
    <w:rsid w:val="5BA81B49"/>
    <w:rsid w:val="5FE23C6A"/>
    <w:rsid w:val="620669B5"/>
    <w:rsid w:val="670C096B"/>
    <w:rsid w:val="683C5AD3"/>
    <w:rsid w:val="6A50221C"/>
    <w:rsid w:val="73B60174"/>
    <w:rsid w:val="73DF27F6"/>
    <w:rsid w:val="77E438DD"/>
    <w:rsid w:val="78495CE4"/>
    <w:rsid w:val="7C55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autoRedefine/>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Normal_5217b10f-8508-4f59-a79a-341cd478dc49"/>
    <w:autoRedefine/>
    <w:qFormat/>
    <w:uiPriority w:val="0"/>
    <w:rPr>
      <w:rFonts w:ascii="Times New Roman" w:hAnsi="Times New Roman" w:eastAsia="Times New Roman" w:cs="Times New Roman"/>
      <w:sz w:val="24"/>
      <w:szCs w:val="24"/>
      <w:lang w:val="en-US" w:eastAsia="uk-UA" w:bidi="ar-SA"/>
    </w:rPr>
  </w:style>
  <w:style w:type="paragraph" w:customStyle="1" w:styleId="25">
    <w:name w:val="单元格样式1_be151713-05ba-4d08-b7c6-cea576219b99"/>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2_7af22561-a257-4982-a70e-b5a58190c28e"/>
    <w:basedOn w:val="1"/>
    <w:autoRedefine/>
    <w:qFormat/>
    <w:uiPriority w:val="0"/>
    <w:rPr>
      <w:rFonts w:ascii="方正书宋_GBK" w:hAnsi="方正书宋_GBK" w:eastAsia="方正书宋_GBK" w:cs="方正书宋_GBK"/>
      <w:sz w:val="21"/>
    </w:rPr>
  </w:style>
  <w:style w:type="paragraph" w:customStyle="1" w:styleId="27">
    <w:name w:val="单元格样式3_2dcd21b7-b979-4069-b215-b4f13f2cd1f4"/>
    <w:basedOn w:val="1"/>
    <w:autoRedefine/>
    <w:qFormat/>
    <w:uiPriority w:val="0"/>
    <w:pPr>
      <w:jc w:val="center"/>
    </w:pPr>
    <w:rPr>
      <w:rFonts w:ascii="方正书宋_GBK" w:hAnsi="方正书宋_GBK" w:eastAsia="方正书宋_GBK" w:cs="方正书宋_GBK"/>
      <w:sz w:val="21"/>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3">
    <w:name w:val="TOC 2"/>
    <w:basedOn w:val="1"/>
    <w:autoRedefine/>
    <w:qFormat/>
    <w:uiPriority w:val="0"/>
    <w:pPr>
      <w:ind w:left="240"/>
    </w:pPr>
  </w:style>
  <w:style w:type="paragraph" w:customStyle="1" w:styleId="34">
    <w:name w:val="TOC 3"/>
    <w:basedOn w:val="1"/>
    <w:autoRedefine/>
    <w:qFormat/>
    <w:uiPriority w:val="0"/>
    <w:pPr>
      <w:ind w:left="480"/>
    </w:pPr>
  </w:style>
  <w:style w:type="paragraph" w:customStyle="1" w:styleId="35">
    <w:name w:val="TOC 4"/>
    <w:basedOn w:val="1"/>
    <w:autoRedefine/>
    <w:qFormat/>
    <w:uiPriority w:val="0"/>
    <w:pPr>
      <w:ind w:left="720"/>
    </w:pPr>
  </w:style>
  <w:style w:type="paragraph" w:customStyle="1" w:styleId="36">
    <w:name w:val="TOC 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semiHidden/>
    <w:qFormat/>
    <w:uiPriority w:val="99"/>
    <w:rPr>
      <w:rFonts w:eastAsia="Times New Roman"/>
      <w:sz w:val="18"/>
      <w:szCs w:val="18"/>
      <w:lang w:eastAsia="uk-UA"/>
    </w:rPr>
  </w:style>
  <w:style w:type="character" w:customStyle="1" w:styleId="38">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2022-01-19T10:26:05Z</dcterms:created>
  <dcterms:modified xsi:type="dcterms:W3CDTF">2022-01-19T02:26:05Z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2022-01-19T10:25:05Z</dcterms:created>
  <dcterms:modified xsi:type="dcterms:W3CDTF">2022-01-19T02:25:05Z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2022-01-19T10:25:16Z</dcterms:created>
  <dcterms:modified xsi:type="dcterms:W3CDTF">2022-01-19T02:25:16Z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2022-01-19T10:26:35Z</dcterms:created>
  <dcterms:modified xsi:type="dcterms:W3CDTF">2022-01-19T02:26:35Z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2022-01-19T10:25:01Z</dcterms:created>
  <dcterms:modified xsi:type="dcterms:W3CDTF">2022-01-19T02:25:01Z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2022-01-19T10:26:08Z</dcterms:created>
  <dcterms:modified xsi:type="dcterms:W3CDTF">2022-01-19T02:26:08Z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2022-01-19T10:26:30Z</dcterms:created>
  <dcterms:modified xsi:type="dcterms:W3CDTF">2022-01-19T02:26:30Z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2022-01-19T10:26:24Z</dcterms:created>
  <dcterms:modified xsi:type="dcterms:W3CDTF">2022-01-19T02:26:24Z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2022-01-19T10:26:38Z</dcterms:created>
  <dcterms:modified xsi:type="dcterms:W3CDTF">2022-01-19T02:26:37Z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2022-01-19T10:25:30Z</dcterms:created>
  <dcterms:modified xsi:type="dcterms:W3CDTF">2022-01-19T02:25:30Z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2022-01-19T10:26:26Z</dcterms:created>
  <dcterms:modified xsi:type="dcterms:W3CDTF">2022-01-19T02:26:26Z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2022-01-19T10:26:33Z</dcterms:created>
  <dcterms:modified xsi:type="dcterms:W3CDTF">2022-01-19T02:26:33Z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2022-01-19T10:25:13Z</dcterms:created>
  <dcterms:modified xsi:type="dcterms:W3CDTF">2022-01-19T02:25:13Z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2022-01-19T10:26:39Z</dcterms:created>
  <dcterms:modified xsi:type="dcterms:W3CDTF">2022-01-19T02:26:39Z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2022-01-19T10:25:33Z</dcterms:created>
  <dcterms:modified xsi:type="dcterms:W3CDTF">2022-01-19T02:25:33Z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2022-01-19T10:24:09Z</dcterms:created>
  <dcterms:modified xsi:type="dcterms:W3CDTF">2022-01-19T02:24:09Z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2022-01-19T10:26:22Z</dcterms:created>
  <dcterms:modified xsi:type="dcterms:W3CDTF">2022-01-19T02:26:22Z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2022-01-19T10:26:29Z</dcterms:created>
  <dcterms:modified xsi:type="dcterms:W3CDTF">2022-01-19T02:26:29Z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2022-01-19T10:25:47Z</dcterms:created>
  <dcterms:modified xsi:type="dcterms:W3CDTF">2022-01-19T02:25:47Z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2022-01-19T10:25:44Z</dcterms:created>
  <dcterms:modified xsi:type="dcterms:W3CDTF">2022-01-19T02:25:44Z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77A9B1-454A-4F9D-8E55-6F5F78B83F6C}">
  <ds:schemaRefs/>
</ds:datastoreItem>
</file>

<file path=customXml/itemProps10.xml><?xml version="1.0" encoding="utf-8"?>
<ds:datastoreItem xmlns:ds="http://schemas.openxmlformats.org/officeDocument/2006/customXml" ds:itemID="{BC383FC1-3B61-4CAA-A844-8BAF21708A21}">
  <ds:schemaRefs/>
</ds:datastoreItem>
</file>

<file path=customXml/itemProps11.xml><?xml version="1.0" encoding="utf-8"?>
<ds:datastoreItem xmlns:ds="http://schemas.openxmlformats.org/officeDocument/2006/customXml" ds:itemID="{F644D0F6-F493-4221-AFEB-22B29D252255}">
  <ds:schemaRefs/>
</ds:datastoreItem>
</file>

<file path=customXml/itemProps12.xml><?xml version="1.0" encoding="utf-8"?>
<ds:datastoreItem xmlns:ds="http://schemas.openxmlformats.org/officeDocument/2006/customXml" ds:itemID="{F92B8E42-7521-4AE5-A044-A75BD2B30BC8}">
  <ds:schemaRefs/>
</ds:datastoreItem>
</file>

<file path=customXml/itemProps13.xml><?xml version="1.0" encoding="utf-8"?>
<ds:datastoreItem xmlns:ds="http://schemas.openxmlformats.org/officeDocument/2006/customXml" ds:itemID="{7FD93954-36A4-4999-82C6-542CD53593E8}">
  <ds:schemaRefs/>
</ds:datastoreItem>
</file>

<file path=customXml/itemProps14.xml><?xml version="1.0" encoding="utf-8"?>
<ds:datastoreItem xmlns:ds="http://schemas.openxmlformats.org/officeDocument/2006/customXml" ds:itemID="{BC4EF898-06A9-4705-89F7-D2EB9FE24B76}">
  <ds:schemaRefs/>
</ds:datastoreItem>
</file>

<file path=customXml/itemProps15.xml><?xml version="1.0" encoding="utf-8"?>
<ds:datastoreItem xmlns:ds="http://schemas.openxmlformats.org/officeDocument/2006/customXml" ds:itemID="{E9FE4E0D-0EEB-4AE0-97D4-6F0BE19C9730}">
  <ds:schemaRefs/>
</ds:datastoreItem>
</file>

<file path=customXml/itemProps16.xml><?xml version="1.0" encoding="utf-8"?>
<ds:datastoreItem xmlns:ds="http://schemas.openxmlformats.org/officeDocument/2006/customXml" ds:itemID="{4D96C338-A379-4CAD-9531-B6649F1AA57A}">
  <ds:schemaRefs/>
</ds:datastoreItem>
</file>

<file path=customXml/itemProps17.xml><?xml version="1.0" encoding="utf-8"?>
<ds:datastoreItem xmlns:ds="http://schemas.openxmlformats.org/officeDocument/2006/customXml" ds:itemID="{419D07C7-0EEF-4F4E-BAF1-ADCD80C1188D}">
  <ds:schemaRefs/>
</ds:datastoreItem>
</file>

<file path=customXml/itemProps18.xml><?xml version="1.0" encoding="utf-8"?>
<ds:datastoreItem xmlns:ds="http://schemas.openxmlformats.org/officeDocument/2006/customXml" ds:itemID="{EEE45D00-55ED-4CE0-A496-D2FAA0E817E0}">
  <ds:schemaRefs/>
</ds:datastoreItem>
</file>

<file path=customXml/itemProps19.xml><?xml version="1.0" encoding="utf-8"?>
<ds:datastoreItem xmlns:ds="http://schemas.openxmlformats.org/officeDocument/2006/customXml" ds:itemID="{25784D4F-465D-4C16-96CA-90F6BA0ED810}">
  <ds:schemaRefs/>
</ds:datastoreItem>
</file>

<file path=customXml/itemProps2.xml><?xml version="1.0" encoding="utf-8"?>
<ds:datastoreItem xmlns:ds="http://schemas.openxmlformats.org/officeDocument/2006/customXml" ds:itemID="{79075C89-2C85-4602-BDF5-7E6416943B84}">
  <ds:schemaRefs/>
</ds:datastoreItem>
</file>

<file path=customXml/itemProps20.xml><?xml version="1.0" encoding="utf-8"?>
<ds:datastoreItem xmlns:ds="http://schemas.openxmlformats.org/officeDocument/2006/customXml" ds:itemID="{E5483E2A-E3FB-4046-BEB5-CCEA18000881}">
  <ds:schemaRefs/>
</ds:datastoreItem>
</file>

<file path=customXml/itemProps21.xml><?xml version="1.0" encoding="utf-8"?>
<ds:datastoreItem xmlns:ds="http://schemas.openxmlformats.org/officeDocument/2006/customXml" ds:itemID="{FF70326B-F9F0-4403-BF33-ED4C82B5C570}">
  <ds:schemaRefs/>
</ds:datastoreItem>
</file>

<file path=customXml/itemProps22.xml><?xml version="1.0" encoding="utf-8"?>
<ds:datastoreItem xmlns:ds="http://schemas.openxmlformats.org/officeDocument/2006/customXml" ds:itemID="{D8A5CB18-1434-4B29-823C-ACD2E2CB05BD}">
  <ds:schemaRefs/>
</ds:datastoreItem>
</file>

<file path=customXml/itemProps23.xml><?xml version="1.0" encoding="utf-8"?>
<ds:datastoreItem xmlns:ds="http://schemas.openxmlformats.org/officeDocument/2006/customXml" ds:itemID="{7F098509-72C6-44A3-BBCA-1170CA721321}">
  <ds:schemaRefs/>
</ds:datastoreItem>
</file>

<file path=customXml/itemProps24.xml><?xml version="1.0" encoding="utf-8"?>
<ds:datastoreItem xmlns:ds="http://schemas.openxmlformats.org/officeDocument/2006/customXml" ds:itemID="{4D33E0B3-2E23-44CA-B592-77E669E166FA}">
  <ds:schemaRefs/>
</ds:datastoreItem>
</file>

<file path=customXml/itemProps25.xml><?xml version="1.0" encoding="utf-8"?>
<ds:datastoreItem xmlns:ds="http://schemas.openxmlformats.org/officeDocument/2006/customXml" ds:itemID="{1DCB946D-24A4-45FB-87C3-8F8A21B4F7FF}">
  <ds:schemaRefs/>
</ds:datastoreItem>
</file>

<file path=customXml/itemProps26.xml><?xml version="1.0" encoding="utf-8"?>
<ds:datastoreItem xmlns:ds="http://schemas.openxmlformats.org/officeDocument/2006/customXml" ds:itemID="{5A3885E7-55DC-44F7-8B89-E91575BA9D93}">
  <ds:schemaRefs/>
</ds:datastoreItem>
</file>

<file path=customXml/itemProps27.xml><?xml version="1.0" encoding="utf-8"?>
<ds:datastoreItem xmlns:ds="http://schemas.openxmlformats.org/officeDocument/2006/customXml" ds:itemID="{8C9D746D-3108-4268-A19F-BC0112F6A50F}">
  <ds:schemaRefs/>
</ds:datastoreItem>
</file>

<file path=customXml/itemProps28.xml><?xml version="1.0" encoding="utf-8"?>
<ds:datastoreItem xmlns:ds="http://schemas.openxmlformats.org/officeDocument/2006/customXml" ds:itemID="{D6A89DE7-5BCF-469C-B919-0885723E157A}">
  <ds:schemaRefs/>
</ds:datastoreItem>
</file>

<file path=customXml/itemProps29.xml><?xml version="1.0" encoding="utf-8"?>
<ds:datastoreItem xmlns:ds="http://schemas.openxmlformats.org/officeDocument/2006/customXml" ds:itemID="{FB857250-1436-4E02-87F3-27574C756FEC}">
  <ds:schemaRefs/>
</ds:datastoreItem>
</file>

<file path=customXml/itemProps3.xml><?xml version="1.0" encoding="utf-8"?>
<ds:datastoreItem xmlns:ds="http://schemas.openxmlformats.org/officeDocument/2006/customXml" ds:itemID="{A2BFCB57-2216-44EA-B436-1A35E7ABB5ED}">
  <ds:schemaRefs/>
</ds:datastoreItem>
</file>

<file path=customXml/itemProps30.xml><?xml version="1.0" encoding="utf-8"?>
<ds:datastoreItem xmlns:ds="http://schemas.openxmlformats.org/officeDocument/2006/customXml" ds:itemID="{AC12C5A0-4729-472B-A02A-9CE8F33F54E3}">
  <ds:schemaRefs/>
</ds:datastoreItem>
</file>

<file path=customXml/itemProps31.xml><?xml version="1.0" encoding="utf-8"?>
<ds:datastoreItem xmlns:ds="http://schemas.openxmlformats.org/officeDocument/2006/customXml" ds:itemID="{2EF94469-1BF1-479C-9FA4-9E3FF7C26A80}">
  <ds:schemaRefs/>
</ds:datastoreItem>
</file>

<file path=customXml/itemProps32.xml><?xml version="1.0" encoding="utf-8"?>
<ds:datastoreItem xmlns:ds="http://schemas.openxmlformats.org/officeDocument/2006/customXml" ds:itemID="{8E8C08AE-8CE7-49F8-B5D2-85BF5B8729F4}">
  <ds:schemaRefs/>
</ds:datastoreItem>
</file>

<file path=customXml/itemProps33.xml><?xml version="1.0" encoding="utf-8"?>
<ds:datastoreItem xmlns:ds="http://schemas.openxmlformats.org/officeDocument/2006/customXml" ds:itemID="{1B79FAF3-A248-46D5-BF75-656EC6502205}">
  <ds:schemaRefs/>
</ds:datastoreItem>
</file>

<file path=customXml/itemProps34.xml><?xml version="1.0" encoding="utf-8"?>
<ds:datastoreItem xmlns:ds="http://schemas.openxmlformats.org/officeDocument/2006/customXml" ds:itemID="{08D06610-CA6A-4FA0-A4CB-5D79651914A2}">
  <ds:schemaRefs/>
</ds:datastoreItem>
</file>

<file path=customXml/itemProps35.xml><?xml version="1.0" encoding="utf-8"?>
<ds:datastoreItem xmlns:ds="http://schemas.openxmlformats.org/officeDocument/2006/customXml" ds:itemID="{457A3A2F-BE2F-4187-B509-ACA862D51225}">
  <ds:schemaRefs/>
</ds:datastoreItem>
</file>

<file path=customXml/itemProps36.xml><?xml version="1.0" encoding="utf-8"?>
<ds:datastoreItem xmlns:ds="http://schemas.openxmlformats.org/officeDocument/2006/customXml" ds:itemID="{653E1E2A-080D-4C4F-9B87-B0FD27DDE716}">
  <ds:schemaRefs/>
</ds:datastoreItem>
</file>

<file path=customXml/itemProps37.xml><?xml version="1.0" encoding="utf-8"?>
<ds:datastoreItem xmlns:ds="http://schemas.openxmlformats.org/officeDocument/2006/customXml" ds:itemID="{C50F5921-4E81-4BD5-AF8D-91FF145098CC}">
  <ds:schemaRefs/>
</ds:datastoreItem>
</file>

<file path=customXml/itemProps38.xml><?xml version="1.0" encoding="utf-8"?>
<ds:datastoreItem xmlns:ds="http://schemas.openxmlformats.org/officeDocument/2006/customXml" ds:itemID="{3FAA23E4-34AE-435F-830F-9DA0CDBD4902}">
  <ds:schemaRefs/>
</ds:datastoreItem>
</file>

<file path=customXml/itemProps39.xml><?xml version="1.0" encoding="utf-8"?>
<ds:datastoreItem xmlns:ds="http://schemas.openxmlformats.org/officeDocument/2006/customXml" ds:itemID="{1DFB3E67-25C9-4816-987C-0C342D12C913}">
  <ds:schemaRefs/>
</ds:datastoreItem>
</file>

<file path=customXml/itemProps4.xml><?xml version="1.0" encoding="utf-8"?>
<ds:datastoreItem xmlns:ds="http://schemas.openxmlformats.org/officeDocument/2006/customXml" ds:itemID="{22FB63A2-923A-493F-9CB4-32ACB9CCDCB1}">
  <ds:schemaRefs/>
</ds:datastoreItem>
</file>

<file path=customXml/itemProps40.xml><?xml version="1.0" encoding="utf-8"?>
<ds:datastoreItem xmlns:ds="http://schemas.openxmlformats.org/officeDocument/2006/customXml" ds:itemID="{E082C47E-B317-48C1-85FD-5C9D0FC89BB1}">
  <ds:schemaRefs/>
</ds:datastoreItem>
</file>

<file path=customXml/itemProps41.xml><?xml version="1.0" encoding="utf-8"?>
<ds:datastoreItem xmlns:ds="http://schemas.openxmlformats.org/officeDocument/2006/customXml" ds:itemID="{6C26D1A9-F78C-41BD-858B-8E520A72D41F}">
  <ds:schemaRefs/>
</ds:datastoreItem>
</file>

<file path=customXml/itemProps5.xml><?xml version="1.0" encoding="utf-8"?>
<ds:datastoreItem xmlns:ds="http://schemas.openxmlformats.org/officeDocument/2006/customXml" ds:itemID="{D70C33F8-EEF4-4C9B-8EB0-E0549283613D}">
  <ds:schemaRefs/>
</ds:datastoreItem>
</file>

<file path=customXml/itemProps6.xml><?xml version="1.0" encoding="utf-8"?>
<ds:datastoreItem xmlns:ds="http://schemas.openxmlformats.org/officeDocument/2006/customXml" ds:itemID="{DF7965C9-5387-4C0E-B7CF-D1B45BE4C332}">
  <ds:schemaRefs/>
</ds:datastoreItem>
</file>

<file path=customXml/itemProps7.xml><?xml version="1.0" encoding="utf-8"?>
<ds:datastoreItem xmlns:ds="http://schemas.openxmlformats.org/officeDocument/2006/customXml" ds:itemID="{D040C715-ADE2-4431-9CAF-8E15E05539D6}">
  <ds:schemaRefs/>
</ds:datastoreItem>
</file>

<file path=customXml/itemProps8.xml><?xml version="1.0" encoding="utf-8"?>
<ds:datastoreItem xmlns:ds="http://schemas.openxmlformats.org/officeDocument/2006/customXml" ds:itemID="{D4F85656-759F-443A-A7C2-5B18D087B0C2}">
  <ds:schemaRefs/>
</ds:datastoreItem>
</file>

<file path=customXml/itemProps9.xml><?xml version="1.0" encoding="utf-8"?>
<ds:datastoreItem xmlns:ds="http://schemas.openxmlformats.org/officeDocument/2006/customXml" ds:itemID="{6901479F-23FE-480B-87E9-584B8A41C30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267</Pages>
  <Words>104519</Words>
  <Characters>120374</Characters>
  <Lines>1025</Lines>
  <Paragraphs>288</Paragraphs>
  <TotalTime>0</TotalTime>
  <ScaleCrop>false</ScaleCrop>
  <LinksUpToDate>false</LinksUpToDate>
  <CharactersWithSpaces>121822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2022-01-19T02:32:00Z</dcterms:created>
  <dc:creator>hp</dc:creator>
  <cp:lastModifiedBy>AAA</cp:lastModifiedBy>
  <dcterms:modified xsi:type="dcterms:W3CDTF">2024-01-19T06:48:46Z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3E777A062507479B81D32EF32372356F_13</vt:lpwstr>
  </property>
</Properties>
</file>